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основу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Закона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("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Сл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гласник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РС",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104/2009, 99/2011 -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закон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71/2012 –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одлука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УС, 83/2014, 113/2017, 44/2018 и 95/2018) и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складу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Националним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стандардом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5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начину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поступку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уновчења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имовине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дужника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управник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поступку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дужником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C393C">
        <w:rPr>
          <w:rFonts w:ascii="Calibri" w:eastAsia="Times New Roman" w:hAnsi="Calibri" w:cs="Times New Roman"/>
          <w:b/>
          <w:color w:val="000000"/>
          <w:sz w:val="24"/>
          <w:szCs w:val="24"/>
        </w:rPr>
        <w:t>A</w:t>
      </w:r>
      <w:r w:rsidR="000C393C">
        <w:rPr>
          <w:rFonts w:ascii="Calibri" w:eastAsia="Times New Roman" w:hAnsi="Calibri" w:cs="Times New Roman"/>
          <w:b/>
          <w:color w:val="000000"/>
          <w:sz w:val="24"/>
          <w:szCs w:val="24"/>
          <w:lang w:val="sr-Cyrl-BA"/>
        </w:rPr>
        <w:t>грариа тим доо у стечају Рума, ул. Главна 172а Рума,</w:t>
      </w:r>
      <w:r w:rsidR="00A06BEE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објављује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</w:p>
    <w:p w:rsidR="009D5214" w:rsidRPr="00526498" w:rsidRDefault="006E5177" w:rsidP="00526498">
      <w:pPr>
        <w:jc w:val="both"/>
        <w:rPr>
          <w:sz w:val="24"/>
          <w:szCs w:val="24"/>
        </w:rPr>
      </w:pPr>
      <w:r w:rsidRPr="0098604C">
        <w:rPr>
          <w:sz w:val="24"/>
          <w:szCs w:val="24"/>
        </w:rPr>
        <w:t xml:space="preserve">ПОЗИВ </w:t>
      </w:r>
      <w:r w:rsidR="0098604C">
        <w:rPr>
          <w:sz w:val="24"/>
          <w:szCs w:val="24"/>
        </w:rPr>
        <w:t>ЗА ДОСТАВЉАЊЕ ПОНУДЕ</w:t>
      </w:r>
      <w:r w:rsidRPr="0098604C">
        <w:rPr>
          <w:sz w:val="24"/>
          <w:szCs w:val="24"/>
        </w:rPr>
        <w:t xml:space="preserve"> ЗА </w:t>
      </w:r>
      <w:r w:rsidR="0098604C">
        <w:rPr>
          <w:sz w:val="24"/>
          <w:szCs w:val="24"/>
        </w:rPr>
        <w:t>ИЗРАДУ</w:t>
      </w:r>
      <w:r w:rsidRPr="0098604C">
        <w:rPr>
          <w:sz w:val="24"/>
          <w:szCs w:val="24"/>
        </w:rPr>
        <w:t xml:space="preserve"> ПРОЦЕНЕ ВРЕДНОСТИ ЦЕЛОКУПНЕ ИМОВИНЕ</w:t>
      </w:r>
      <w:r w:rsidR="00A06BEE">
        <w:rPr>
          <w:sz w:val="24"/>
          <w:szCs w:val="24"/>
        </w:rPr>
        <w:t xml:space="preserve"> И </w:t>
      </w:r>
      <w:r w:rsidR="0098604C">
        <w:rPr>
          <w:sz w:val="24"/>
          <w:szCs w:val="24"/>
        </w:rPr>
        <w:t>ПРОЦЕНЕ</w:t>
      </w:r>
      <w:r w:rsidRPr="0098604C">
        <w:rPr>
          <w:sz w:val="24"/>
          <w:szCs w:val="24"/>
        </w:rPr>
        <w:t xml:space="preserve"> СТЕЧАЈНОГ ДУЖНИКА</w:t>
      </w:r>
      <w:r w:rsidR="0098604C">
        <w:rPr>
          <w:sz w:val="24"/>
          <w:szCs w:val="24"/>
        </w:rPr>
        <w:t xml:space="preserve"> КАО ПРАВНОГ ЛИЦА</w:t>
      </w:r>
      <w:r w:rsidRPr="0098604C">
        <w:rPr>
          <w:sz w:val="24"/>
          <w:szCs w:val="24"/>
        </w:rPr>
        <w:t xml:space="preserve"> И </w:t>
      </w:r>
      <w:r w:rsidR="0098604C">
        <w:rPr>
          <w:sz w:val="24"/>
          <w:szCs w:val="24"/>
        </w:rPr>
        <w:t>ДАВАЊЕ МИШЉЕЊА О</w:t>
      </w:r>
      <w:r w:rsidRPr="0098604C">
        <w:rPr>
          <w:sz w:val="24"/>
          <w:szCs w:val="24"/>
        </w:rPr>
        <w:t xml:space="preserve"> ЦЕЛИСХОДНОСТИ ПРОДАЈЕ </w:t>
      </w:r>
    </w:p>
    <w:p w:rsidR="00D904B9" w:rsidRPr="00566DD4" w:rsidRDefault="00D904B9" w:rsidP="00D904B9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УВОД</w:t>
      </w:r>
    </w:p>
    <w:p w:rsidR="006E5177" w:rsidRPr="00DB7A3D" w:rsidRDefault="00D904B9" w:rsidP="006E5177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Решењем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Привредног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суда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Сремској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Митровица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 СТ-</w:t>
      </w:r>
      <w:r w:rsidR="000C393C">
        <w:rPr>
          <w:rFonts w:ascii="Calibri" w:eastAsia="Times New Roman" w:hAnsi="Calibri" w:cs="Times New Roman"/>
          <w:color w:val="000000"/>
          <w:sz w:val="24"/>
          <w:szCs w:val="24"/>
        </w:rPr>
        <w:t>19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/20</w:t>
      </w:r>
      <w:r w:rsidR="00FD590B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2</w:t>
      </w:r>
      <w:r w:rsidR="00AE29F9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C393C">
        <w:rPr>
          <w:rFonts w:ascii="Calibri" w:eastAsia="Times New Roman" w:hAnsi="Calibri" w:cs="Times New Roman"/>
          <w:color w:val="000000"/>
          <w:sz w:val="24"/>
          <w:szCs w:val="24"/>
        </w:rPr>
        <w:t>02</w:t>
      </w:r>
      <w:r w:rsidR="00B3526D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.1</w:t>
      </w:r>
      <w:r w:rsidR="000C393C">
        <w:rPr>
          <w:rFonts w:ascii="Calibri" w:eastAsia="Times New Roman" w:hAnsi="Calibri" w:cs="Times New Roman"/>
          <w:color w:val="000000"/>
          <w:sz w:val="24"/>
          <w:szCs w:val="24"/>
        </w:rPr>
        <w:t>2</w:t>
      </w:r>
      <w:r w:rsidR="00B3526D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.202</w:t>
      </w:r>
      <w:r w:rsidR="00AE29F9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="00B3526D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.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године</w:t>
      </w:r>
      <w:proofErr w:type="spellEnd"/>
      <w:proofErr w:type="gram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отворен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поступак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дужником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C393C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Аграриа тим доо у стечају Рума.</w:t>
      </w:r>
      <w:r w:rsidR="00DB7A3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B7A3D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Дана 03.03.2026. године Привредни суд је донео Решење о банкротству које је правноснажно од 27.03.2026. године.</w:t>
      </w:r>
    </w:p>
    <w:p w:rsidR="000C393C" w:rsidRPr="00AE29F9" w:rsidRDefault="000C393C" w:rsidP="006E5177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</w:pPr>
    </w:p>
    <w:p w:rsidR="00D904B9" w:rsidRPr="00566DD4" w:rsidRDefault="00D904B9" w:rsidP="00D904B9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СВРХА ПРОЦЕНЕ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Сврха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утврди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стратегија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продаје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циљу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остваривања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највеће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продајне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вредности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максимално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могућег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колективног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намирења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поверилаца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управник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складу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чланом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132. </w:t>
      </w:r>
      <w:proofErr w:type="spellStart"/>
      <w:proofErr w:type="gram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став</w:t>
      </w:r>
      <w:proofErr w:type="spellEnd"/>
      <w:proofErr w:type="gram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2. </w:t>
      </w:r>
      <w:r w:rsidR="00A06BEE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Извештај о </w:t>
      </w:r>
      <w:proofErr w:type="spellStart"/>
      <w:r w:rsidR="00A06BEE">
        <w:rPr>
          <w:rFonts w:ascii="Calibri" w:eastAsia="Times New Roman" w:hAnsi="Calibri" w:cs="Times New Roman"/>
          <w:color w:val="000000"/>
          <w:sz w:val="24"/>
          <w:szCs w:val="24"/>
        </w:rPr>
        <w:t>процени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доставити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суду</w:t>
      </w:r>
      <w:proofErr w:type="spellEnd"/>
      <w:r w:rsidR="00AE29F9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 и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одбору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поверилаца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  </w:t>
      </w:r>
    </w:p>
    <w:p w:rsidR="00D904B9" w:rsidRPr="00566DD4" w:rsidRDefault="00D904B9" w:rsidP="00D904B9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ИЗВЕШТАЈ О ПРОЦЕНИ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Проценитељ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дужан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завршетку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достави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Извештај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r w:rsidR="00934B4C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два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оригинална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примерка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писаној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електронској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форми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морати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садржи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следеће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</w:p>
    <w:p w:rsidR="00D904B9" w:rsidRPr="00566DD4" w:rsidRDefault="00D904B9" w:rsidP="00D904B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Прецизно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означен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предмет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процене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дефиницију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вредности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уз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опис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метода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коришћења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  у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процени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>,</w:t>
      </w:r>
    </w:p>
    <w:p w:rsidR="00D904B9" w:rsidRPr="00566DD4" w:rsidRDefault="00D904B9" w:rsidP="00D904B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Закључак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процењеној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ликвидационој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вредности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имовине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стечајног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дужника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>,</w:t>
      </w:r>
    </w:p>
    <w:p w:rsidR="00D904B9" w:rsidRPr="00566DD4" w:rsidRDefault="00D904B9" w:rsidP="00D904B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Закључак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процењеној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вредности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стечајног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дужника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као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правног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лица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,</w:t>
      </w:r>
    </w:p>
    <w:p w:rsidR="00D904B9" w:rsidRPr="00566DD4" w:rsidRDefault="00D904B9" w:rsidP="00D904B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Закључак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процењеној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вредности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имовине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која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је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предмет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разлучног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права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–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одређивање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одговарајућег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дела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купопродајне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цене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на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којем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разлучни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поверилац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има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право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приоритетног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намирења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складу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чланом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133. </w:t>
      </w:r>
      <w:proofErr w:type="spellStart"/>
      <w:proofErr w:type="gram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став</w:t>
      </w:r>
      <w:proofErr w:type="spellEnd"/>
      <w:proofErr w:type="gram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12.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Закона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стечају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>,</w:t>
      </w:r>
    </w:p>
    <w:p w:rsidR="00D904B9" w:rsidRPr="001478B6" w:rsidRDefault="00D904B9" w:rsidP="00D904B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Закључак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вези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целисходности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најповољнијег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начина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продајe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мишљење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проценитеља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предлог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најповољнијег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начина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уновчења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стечајне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масе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уз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давање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детаљног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образложења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>.</w:t>
      </w:r>
    </w:p>
    <w:p w:rsidR="001478B6" w:rsidRPr="009D5214" w:rsidRDefault="001478B6" w:rsidP="001478B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9D5214" w:rsidRPr="00526498" w:rsidRDefault="009D5214" w:rsidP="007F378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D904B9" w:rsidRPr="00566DD4" w:rsidRDefault="00D904B9" w:rsidP="00D904B9">
      <w:pPr>
        <w:numPr>
          <w:ilvl w:val="0"/>
          <w:numId w:val="5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МЕТОД ПРОЦЕНЕ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Метод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прописан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Законом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Националним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стандардом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МРС.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дужни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опишу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методе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намеравају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користе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својој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 xml:space="preserve">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складу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Националним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стандардом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 5</w:t>
      </w:r>
      <w:proofErr w:type="gram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 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</w:t>
      </w:r>
      <w:proofErr w:type="spellEnd"/>
      <w:proofErr w:type="gram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којем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утврђивање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процењене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вредности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врши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складу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Међународним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стандардима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финансијског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извештавања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D904B9" w:rsidRPr="00566DD4" w:rsidRDefault="00D904B9" w:rsidP="00D904B9">
      <w:pPr>
        <w:numPr>
          <w:ilvl w:val="0"/>
          <w:numId w:val="6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ИНФОРМАЦИЈЕ ЗА ПОНУЂАЧЕ</w:t>
      </w:r>
    </w:p>
    <w:p w:rsidR="00D904B9" w:rsidRPr="00240728" w:rsidRDefault="00D904B9" w:rsidP="00D904B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Имовина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>стечајног</w:t>
      </w:r>
      <w:proofErr w:type="spellEnd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>дужника</w:t>
      </w:r>
      <w:proofErr w:type="spellEnd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>се</w:t>
      </w:r>
      <w:proofErr w:type="spellEnd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>састоји</w:t>
      </w:r>
      <w:proofErr w:type="spellEnd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="00B3526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:</w:t>
      </w:r>
    </w:p>
    <w:p w:rsidR="007000A4" w:rsidRDefault="007000A4" w:rsidP="007000A4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ЗЕМЉИШТЕ У КО ЈАБУЧЈЕ, ОПШТИНА ЛАЈКОВАЦ</w:t>
      </w:r>
      <w:r w:rsidR="00822528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-</w:t>
      </w:r>
      <w:r w:rsidR="00822528" w:rsidRPr="00822528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стечајни дужник ума уписано право приватне својин</w:t>
      </w:r>
      <w:r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е са обимом удела 1/1 на КП 127/2</w:t>
      </w:r>
    </w:p>
    <w:p w:rsidR="00127EF5" w:rsidRPr="00127EF5" w:rsidRDefault="00127EF5" w:rsidP="00127EF5">
      <w:pPr>
        <w:pStyle w:val="ListParagraph"/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</w:p>
    <w:p w:rsidR="00822528" w:rsidRPr="007000A4" w:rsidRDefault="00822528" w:rsidP="007000A4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  <w:r w:rsidRPr="007000A4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О</w:t>
      </w:r>
      <w:r w:rsidR="002E4D5B" w:rsidRPr="007000A4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БЈЕКТИ</w:t>
      </w:r>
      <w:r w:rsidRPr="007000A4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у КО </w:t>
      </w:r>
      <w:r w:rsidR="007000A4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ЈАБУЧЈЕ, ОПШТИНА ЛАЈКОВАЦ: 5 објеката на КП127/2 (4 укњижена и 1 неукњижен), 7 неукњижених објеката на КП 127/1 (која парцела није власништво стечајног дужника</w:t>
      </w:r>
    </w:p>
    <w:p w:rsidR="002E4D5B" w:rsidRDefault="002E4D5B" w:rsidP="002E4D5B">
      <w:pPr>
        <w:pStyle w:val="ListParagraph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</w:p>
    <w:p w:rsidR="00822528" w:rsidRPr="002E4D5B" w:rsidRDefault="002E4D5B" w:rsidP="002E4D5B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Опрема, </w:t>
      </w:r>
      <w:r w:rsidR="00127EF5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залихе и </w:t>
      </w:r>
      <w:r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потраживања према</w:t>
      </w:r>
      <w:r w:rsidR="00127EF5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извршеном попису и подацима евидентираним у</w:t>
      </w:r>
      <w:r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Економско финансијком извештају</w:t>
      </w:r>
    </w:p>
    <w:p w:rsidR="00281EF7" w:rsidRPr="00566DD4" w:rsidRDefault="00281EF7" w:rsidP="00215DE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Заинтересовани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писане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подносе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најкасније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</w:t>
      </w:r>
      <w:proofErr w:type="spellEnd"/>
      <w:r w:rsidR="00A06BE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B7A3D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05</w:t>
      </w:r>
      <w:r w:rsidR="002E4D5B">
        <w:rPr>
          <w:rFonts w:ascii="Calibri" w:eastAsia="Times New Roman" w:hAnsi="Calibri" w:cs="Times New Roman"/>
          <w:color w:val="000000"/>
          <w:sz w:val="24"/>
          <w:szCs w:val="24"/>
        </w:rPr>
        <w:t>.0</w:t>
      </w:r>
      <w:r w:rsidR="00DB7A3D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="002E4D5B">
        <w:rPr>
          <w:rFonts w:ascii="Calibri" w:eastAsia="Times New Roman" w:hAnsi="Calibri" w:cs="Times New Roman"/>
          <w:color w:val="000000"/>
          <w:sz w:val="24"/>
          <w:szCs w:val="24"/>
        </w:rPr>
        <w:t>.2026</w:t>
      </w:r>
      <w:r w:rsidR="00D94408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BC1DDE">
        <w:rPr>
          <w:rFonts w:ascii="Calibri" w:eastAsia="Times New Roman" w:hAnsi="Calibri" w:cs="Times New Roman"/>
          <w:color w:val="000000"/>
          <w:sz w:val="24"/>
          <w:szCs w:val="24"/>
        </w:rPr>
        <w:t>године</w:t>
      </w:r>
      <w:proofErr w:type="spellEnd"/>
      <w:proofErr w:type="gram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адресу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канцеларије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управника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–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Ул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="004E475F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Арсенија Чарнојевића бр. 14/7,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Сремска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Митровица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</w:t>
      </w:r>
      <w:proofErr w:type="spellEnd"/>
      <w:r w:rsidR="00BC1DDE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у</w:t>
      </w:r>
      <w:r w:rsidR="00BC1DD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BC1DDE">
        <w:rPr>
          <w:rFonts w:ascii="Calibri" w:eastAsia="Times New Roman" w:hAnsi="Calibri" w:cs="Times New Roman"/>
          <w:color w:val="000000"/>
          <w:sz w:val="24"/>
          <w:szCs w:val="24"/>
        </w:rPr>
        <w:t>доставити</w:t>
      </w:r>
      <w:proofErr w:type="spellEnd"/>
      <w:r w:rsidR="00BC1DD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затвореној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коверти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назнаком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ПРУЖАЊЕ УСЛУГА ПРОЦЕНЕ ВРЕДНОСТИ ИМОВИНЕ СТЕЧАЈНОГ ДУЖНИКА</w:t>
      </w:r>
      <w:r w:rsidR="004E475F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 И СТЕЧАЈНОГ ДУЖНИКА</w:t>
      </w:r>
      <w:r w:rsidR="004E475F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40728">
        <w:rPr>
          <w:rFonts w:ascii="Calibri" w:eastAsia="Times New Roman" w:hAnsi="Calibri" w:cs="Times New Roman"/>
          <w:color w:val="000000"/>
          <w:sz w:val="24"/>
          <w:szCs w:val="24"/>
        </w:rPr>
        <w:t>A</w:t>
      </w:r>
      <w:r w:rsidR="00240728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ГРАРИА ТИМ</w:t>
      </w:r>
      <w:r w:rsidR="002E4D5B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 ДОО У СТЕЧАЈУ </w:t>
      </w:r>
      <w:r w:rsidR="00BC1DDE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КАО ПРАВНОГ ЛИЦА</w:t>
      </w:r>
      <w:r w:rsidR="00240728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.</w:t>
      </w:r>
      <w:bookmarkStart w:id="0" w:name="_GoBack"/>
      <w:bookmarkEnd w:id="0"/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уз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доставља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фотокопију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докумената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смеју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бити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старија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12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месеци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пријема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Наручиоци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задржавају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право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захтевају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накнадно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достављање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увид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оригиналне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документације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треба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садржи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</w:p>
    <w:p w:rsidR="00D904B9" w:rsidRPr="00566DD4" w:rsidRDefault="00D904B9" w:rsidP="00D904B9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Доказе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испуњености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услова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тачке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6.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овог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огласа</w:t>
      </w:r>
      <w:proofErr w:type="spellEnd"/>
    </w:p>
    <w:p w:rsidR="00D904B9" w:rsidRPr="00566DD4" w:rsidRDefault="00D904B9" w:rsidP="00D904B9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Имена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чланова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ужег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тима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радити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задужењима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референцама</w:t>
      </w:r>
      <w:proofErr w:type="spellEnd"/>
    </w:p>
    <w:p w:rsidR="00D904B9" w:rsidRPr="00566DD4" w:rsidRDefault="00D904B9" w:rsidP="00D904B9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Рок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којем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завршити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D904B9" w:rsidRPr="00566DD4" w:rsidRDefault="00D904B9" w:rsidP="00D904B9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Цену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пружену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услугу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исказану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динарима</w:t>
      </w:r>
      <w:proofErr w:type="spellEnd"/>
    </w:p>
    <w:p w:rsidR="00D904B9" w:rsidRPr="00566DD4" w:rsidRDefault="00D904B9" w:rsidP="00D904B9">
      <w:pPr>
        <w:numPr>
          <w:ilvl w:val="0"/>
          <w:numId w:val="1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Рок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исплату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накнаде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извршену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услугу</w:t>
      </w:r>
      <w:proofErr w:type="spellEnd"/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Уз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доставити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</w:p>
    <w:p w:rsidR="00D904B9" w:rsidRPr="00566DD4" w:rsidRDefault="000F24FF" w:rsidP="00D904B9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Лиценцу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овлашћеног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проценитеља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решење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904B9" w:rsidRPr="00566DD4">
        <w:rPr>
          <w:rFonts w:ascii="Calibri" w:eastAsia="Times New Roman" w:hAnsi="Calibri" w:cs="Times New Roman"/>
          <w:color w:val="000000"/>
          <w:sz w:val="24"/>
          <w:szCs w:val="24"/>
        </w:rPr>
        <w:t>АПР-а</w:t>
      </w:r>
    </w:p>
    <w:p w:rsidR="00D904B9" w:rsidRPr="00566DD4" w:rsidRDefault="00D904B9" w:rsidP="00D904B9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Доказе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стручности</w:t>
      </w:r>
      <w:proofErr w:type="spellEnd"/>
    </w:p>
    <w:p w:rsidR="00D904B9" w:rsidRPr="00566DD4" w:rsidRDefault="00D904B9" w:rsidP="00D904B9">
      <w:pPr>
        <w:numPr>
          <w:ilvl w:val="0"/>
          <w:numId w:val="13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Референце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досадашњег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рада</w:t>
      </w:r>
      <w:proofErr w:type="spellEnd"/>
    </w:p>
    <w:p w:rsidR="00A40FB5" w:rsidRDefault="00D904B9" w:rsidP="00D904B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Позивају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заинтересована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лица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директним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обиласком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лицу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места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утврде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елементе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опредељеност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</w:t>
      </w:r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>лучају</w:t>
      </w:r>
      <w:proofErr w:type="spellEnd"/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>потребе</w:t>
      </w:r>
      <w:proofErr w:type="spellEnd"/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>додатних</w:t>
      </w:r>
      <w:proofErr w:type="spellEnd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>података</w:t>
      </w:r>
      <w:proofErr w:type="spellEnd"/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доставе</w:t>
      </w:r>
      <w:proofErr w:type="spellEnd"/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документације</w:t>
      </w:r>
      <w:proofErr w:type="spellEnd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 xml:space="preserve"> о </w:t>
      </w:r>
      <w:proofErr w:type="spellStart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>имовини</w:t>
      </w:r>
      <w:proofErr w:type="spellEnd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>стечајног</w:t>
      </w:r>
      <w:proofErr w:type="spellEnd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>дужника</w:t>
      </w:r>
      <w:proofErr w:type="spellEnd"/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опредељеност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заинтересована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лица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могу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јавити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управнику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06BEE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Зорану Стојановић</w:t>
      </w:r>
      <w:r w:rsidR="00825C89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="00825C89">
        <w:rPr>
          <w:rFonts w:ascii="Calibri" w:eastAsia="Times New Roman" w:hAnsi="Calibri" w:cs="Times New Roman"/>
          <w:color w:val="000000"/>
          <w:sz w:val="24"/>
          <w:szCs w:val="24"/>
        </w:rPr>
        <w:t>тел</w:t>
      </w:r>
      <w:proofErr w:type="spellEnd"/>
      <w:r w:rsidR="00825C89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  <w:r w:rsidR="00825C89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</w:t>
      </w:r>
      <w:r w:rsidR="00A06BEE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063/8-555-288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514623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>или</w:t>
      </w:r>
      <w:proofErr w:type="spellEnd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>путем</w:t>
      </w:r>
      <w:proofErr w:type="spellEnd"/>
      <w:r w:rsidR="00514623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e–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mail</w:t>
      </w:r>
      <w:r w:rsidR="00A40FB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40FB5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поште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  <w:r w:rsidR="00566DD4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D904B9" w:rsidRPr="00B3526D" w:rsidRDefault="00DB7A3D" w:rsidP="00D904B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sr-Latn-RS"/>
        </w:rPr>
      </w:pPr>
      <w:hyperlink r:id="rId5" w:history="1">
        <w:r w:rsidR="00A06BEE" w:rsidRPr="004D057B">
          <w:rPr>
            <w:rStyle w:val="Hyperlink"/>
            <w:rFonts w:ascii="Calibri" w:eastAsia="Times New Roman" w:hAnsi="Calibri" w:cs="Times New Roman"/>
            <w:sz w:val="24"/>
            <w:szCs w:val="24"/>
          </w:rPr>
          <w:t>stole@open.telekom.rs</w:t>
        </w:r>
      </w:hyperlink>
      <w:r w:rsidR="00A06BEE">
        <w:rPr>
          <w:rFonts w:ascii="Calibri" w:eastAsia="Times New Roman" w:hAnsi="Calibri" w:cs="Times New Roman"/>
          <w:color w:val="000000"/>
          <w:sz w:val="24"/>
          <w:szCs w:val="24"/>
        </w:rPr>
        <w:t xml:space="preserve"> ,</w:t>
      </w:r>
      <w:r w:rsidR="00D904B9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hyperlink r:id="rId6" w:history="1">
        <w:r w:rsidR="00B3526D" w:rsidRPr="00497294">
          <w:rPr>
            <w:rStyle w:val="Hyperlink"/>
            <w:rFonts w:ascii="Calibri" w:eastAsia="Times New Roman" w:hAnsi="Calibri" w:cs="Times New Roman"/>
            <w:sz w:val="24"/>
            <w:szCs w:val="24"/>
          </w:rPr>
          <w:t>јеzdicjadranka@gmail.com</w:t>
        </w:r>
      </w:hyperlink>
      <w:r w:rsidR="00B3526D">
        <w:rPr>
          <w:rFonts w:ascii="Calibri" w:eastAsia="Times New Roman" w:hAnsi="Calibri" w:cs="Times New Roman"/>
          <w:color w:val="000000"/>
          <w:sz w:val="24"/>
          <w:szCs w:val="24"/>
          <w:lang w:val="sr-Latn-RS"/>
        </w:rPr>
        <w:t xml:space="preserve">; 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складу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Националним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стандардом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5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начину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поступку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уновчења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имовине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дужника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избору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одлучује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Одбор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поверилаца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дужника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узимајући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осим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финансијске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обзир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стручност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референце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друге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елементе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значаја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вршење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конкретне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 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то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искључиво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Листе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добијене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уп</w:t>
      </w:r>
      <w:proofErr w:type="spellEnd"/>
      <w:r w:rsidR="00A820B2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р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авника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случају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Одбор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донесе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одлуку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року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8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истека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рока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достављање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избор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врши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управник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применом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истих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критеријума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Након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донете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одлуке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избору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најбољег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биће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обавештени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сви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Наручилац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задржава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право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пријему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свих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донесе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Одлуку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ниједног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изабере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чему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понуђачима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доставити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писмено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обавештење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Цена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није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једини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критеријум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приликом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одабира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проценитеља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</w:p>
    <w:p w:rsidR="00D904B9" w:rsidRPr="00566DD4" w:rsidRDefault="00D904B9" w:rsidP="000F24FF">
      <w:pPr>
        <w:pStyle w:val="ListParagraph"/>
        <w:numPr>
          <w:ilvl w:val="1"/>
          <w:numId w:val="12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УСЛОВИ КОНКУРИСАЊА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учествовање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могу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поднети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сви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испуњавају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услове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смислу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квалификационих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захтева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утврђених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стране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наручиоца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то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</w:p>
    <w:p w:rsidR="00D904B9" w:rsidRPr="00566DD4" w:rsidRDefault="00D904B9" w:rsidP="00D904B9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регистрован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обављање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делатности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надлежног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органа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</w:p>
    <w:p w:rsidR="00D904B9" w:rsidRPr="00566DD4" w:rsidRDefault="00D904B9" w:rsidP="00D904B9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поседује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лиценцу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обављање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послова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овлашћеног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проценитеља</w:t>
      </w:r>
      <w:proofErr w:type="spellEnd"/>
    </w:p>
    <w:p w:rsidR="00D904B9" w:rsidRPr="00566DD4" w:rsidRDefault="00D904B9" w:rsidP="00D904B9">
      <w:pPr>
        <w:numPr>
          <w:ilvl w:val="0"/>
          <w:numId w:val="15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испуњава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квалификационе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услове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односно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располаже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довољним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кадровским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техничким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капацитетом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вршење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услуге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случају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одустанка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поступка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набавке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наручилац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неће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бити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одговоран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начин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стварну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штету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изгубљену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добит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или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било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какву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другу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штету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може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услед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тога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претрпи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D904B9" w:rsidRPr="00566DD4" w:rsidRDefault="00D904B9" w:rsidP="00D904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4B9" w:rsidRPr="00566DD4" w:rsidRDefault="00D904B9" w:rsidP="00D904B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управник</w:t>
      </w:r>
      <w:proofErr w:type="spellEnd"/>
    </w:p>
    <w:p w:rsidR="00D904B9" w:rsidRPr="00825C89" w:rsidRDefault="00FD6A09" w:rsidP="00D904B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Зоран Стојановић</w:t>
      </w:r>
    </w:p>
    <w:p w:rsidR="00D07B3C" w:rsidRDefault="00D07B3C"/>
    <w:sectPr w:rsidR="00D07B3C" w:rsidSect="004570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10EE"/>
    <w:multiLevelType w:val="multilevel"/>
    <w:tmpl w:val="53F8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B4000"/>
    <w:multiLevelType w:val="multilevel"/>
    <w:tmpl w:val="15B0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04736"/>
    <w:multiLevelType w:val="multilevel"/>
    <w:tmpl w:val="2FA4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A662E"/>
    <w:multiLevelType w:val="multilevel"/>
    <w:tmpl w:val="6910F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160AC"/>
    <w:multiLevelType w:val="hybridMultilevel"/>
    <w:tmpl w:val="EBFCB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B263C"/>
    <w:multiLevelType w:val="multilevel"/>
    <w:tmpl w:val="0886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70C1C"/>
    <w:multiLevelType w:val="multilevel"/>
    <w:tmpl w:val="7F961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2B6FB8"/>
    <w:multiLevelType w:val="hybridMultilevel"/>
    <w:tmpl w:val="9A22AA94"/>
    <w:lvl w:ilvl="0" w:tplc="2248B0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E7468"/>
    <w:multiLevelType w:val="hybridMultilevel"/>
    <w:tmpl w:val="2CE489AE"/>
    <w:lvl w:ilvl="0" w:tplc="858821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E5E0F"/>
    <w:multiLevelType w:val="multilevel"/>
    <w:tmpl w:val="D750D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954839"/>
    <w:multiLevelType w:val="multilevel"/>
    <w:tmpl w:val="D4A2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C4089"/>
    <w:multiLevelType w:val="multilevel"/>
    <w:tmpl w:val="F28A4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667933"/>
    <w:multiLevelType w:val="multilevel"/>
    <w:tmpl w:val="DBC263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E0230F"/>
    <w:multiLevelType w:val="multilevel"/>
    <w:tmpl w:val="57C0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2E673E"/>
    <w:multiLevelType w:val="multilevel"/>
    <w:tmpl w:val="F6CE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670DE0"/>
    <w:multiLevelType w:val="multilevel"/>
    <w:tmpl w:val="FAD2E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8035A4"/>
    <w:multiLevelType w:val="multilevel"/>
    <w:tmpl w:val="E58A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4"/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13"/>
  </w:num>
  <w:num w:numId="8">
    <w:abstractNumId w:val="10"/>
  </w:num>
  <w:num w:numId="9">
    <w:abstractNumId w:val="15"/>
    <w:lvlOverride w:ilvl="0">
      <w:lvl w:ilvl="0">
        <w:numFmt w:val="decimal"/>
        <w:lvlText w:val="%1."/>
        <w:lvlJc w:val="left"/>
      </w:lvl>
    </w:lvlOverride>
  </w:num>
  <w:num w:numId="10">
    <w:abstractNumId w:val="15"/>
    <w:lvlOverride w:ilvl="0">
      <w:lvl w:ilvl="0">
        <w:numFmt w:val="decimal"/>
        <w:lvlText w:val="%1."/>
        <w:lvlJc w:val="left"/>
      </w:lvl>
    </w:lvlOverride>
  </w:num>
  <w:num w:numId="11">
    <w:abstractNumId w:val="1"/>
  </w:num>
  <w:num w:numId="12">
    <w:abstractNumId w:val="16"/>
  </w:num>
  <w:num w:numId="13">
    <w:abstractNumId w:val="2"/>
  </w:num>
  <w:num w:numId="14">
    <w:abstractNumId w:val="5"/>
  </w:num>
  <w:num w:numId="15">
    <w:abstractNumId w:val="0"/>
  </w:num>
  <w:num w:numId="16">
    <w:abstractNumId w:val="4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B9"/>
    <w:rsid w:val="00033106"/>
    <w:rsid w:val="00072222"/>
    <w:rsid w:val="00072E10"/>
    <w:rsid w:val="000739E8"/>
    <w:rsid w:val="00090C5C"/>
    <w:rsid w:val="000C393C"/>
    <w:rsid w:val="000F24FF"/>
    <w:rsid w:val="00113110"/>
    <w:rsid w:val="00127EF5"/>
    <w:rsid w:val="001478B6"/>
    <w:rsid w:val="0015780E"/>
    <w:rsid w:val="001871BF"/>
    <w:rsid w:val="00215DE6"/>
    <w:rsid w:val="00240728"/>
    <w:rsid w:val="00281EF7"/>
    <w:rsid w:val="002E01F1"/>
    <w:rsid w:val="002E4D5B"/>
    <w:rsid w:val="00306909"/>
    <w:rsid w:val="003465C8"/>
    <w:rsid w:val="00385195"/>
    <w:rsid w:val="004570B4"/>
    <w:rsid w:val="004E475F"/>
    <w:rsid w:val="00512DAC"/>
    <w:rsid w:val="00514623"/>
    <w:rsid w:val="00526498"/>
    <w:rsid w:val="00566DD4"/>
    <w:rsid w:val="006E5177"/>
    <w:rsid w:val="007000A4"/>
    <w:rsid w:val="007542B6"/>
    <w:rsid w:val="00774443"/>
    <w:rsid w:val="007D59DA"/>
    <w:rsid w:val="007E06FA"/>
    <w:rsid w:val="007E1500"/>
    <w:rsid w:val="007E7D8E"/>
    <w:rsid w:val="007F378E"/>
    <w:rsid w:val="00822528"/>
    <w:rsid w:val="00825C89"/>
    <w:rsid w:val="00934B4C"/>
    <w:rsid w:val="009448D3"/>
    <w:rsid w:val="0095479B"/>
    <w:rsid w:val="00977071"/>
    <w:rsid w:val="0098604C"/>
    <w:rsid w:val="009A0AF1"/>
    <w:rsid w:val="009B7F34"/>
    <w:rsid w:val="009D5214"/>
    <w:rsid w:val="009E46AA"/>
    <w:rsid w:val="00A06BEE"/>
    <w:rsid w:val="00A22650"/>
    <w:rsid w:val="00A40FB5"/>
    <w:rsid w:val="00A6069F"/>
    <w:rsid w:val="00A714E2"/>
    <w:rsid w:val="00A724FC"/>
    <w:rsid w:val="00A820B2"/>
    <w:rsid w:val="00AE29F9"/>
    <w:rsid w:val="00AE4F55"/>
    <w:rsid w:val="00B3526D"/>
    <w:rsid w:val="00B921FA"/>
    <w:rsid w:val="00B96BCB"/>
    <w:rsid w:val="00BC1DDE"/>
    <w:rsid w:val="00C14873"/>
    <w:rsid w:val="00C601F8"/>
    <w:rsid w:val="00D07B3C"/>
    <w:rsid w:val="00D323BE"/>
    <w:rsid w:val="00D450D1"/>
    <w:rsid w:val="00D51D57"/>
    <w:rsid w:val="00D904B9"/>
    <w:rsid w:val="00D94408"/>
    <w:rsid w:val="00DB3A84"/>
    <w:rsid w:val="00DB7A3D"/>
    <w:rsid w:val="00DB7BDC"/>
    <w:rsid w:val="00DF6B5A"/>
    <w:rsid w:val="00FD590B"/>
    <w:rsid w:val="00FD6A09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3970"/>
  <w15:docId w15:val="{264C96DE-071B-44E8-889D-48D5FA79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4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D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52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112;&#1077;zdicjadranka@gmail.com" TargetMode="External"/><Relationship Id="rId5" Type="http://schemas.openxmlformats.org/officeDocument/2006/relationships/hyperlink" Target="mailto:stole@open.telekom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TOSHIBA</cp:lastModifiedBy>
  <cp:revision>5</cp:revision>
  <cp:lastPrinted>2024-04-09T10:59:00Z</cp:lastPrinted>
  <dcterms:created xsi:type="dcterms:W3CDTF">2026-04-20T07:53:00Z</dcterms:created>
  <dcterms:modified xsi:type="dcterms:W3CDTF">2026-04-21T07:25:00Z</dcterms:modified>
</cp:coreProperties>
</file>