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25A1" w:rsidRPr="00DC5200" w:rsidRDefault="00D125A1" w:rsidP="00A6700B">
      <w:pPr>
        <w:jc w:val="both"/>
        <w:rPr>
          <w:lang w:val="ru-RU"/>
        </w:rPr>
      </w:pPr>
      <w:r w:rsidRPr="00DC5200">
        <w:rPr>
          <w:lang w:val="ru-RU"/>
        </w:rPr>
        <w:t xml:space="preserve">На основу Закона о стечају и у складу са Националним стандардом бр. 5 о начину и поступку уновчења имовине стечајног дужника, стечајни управник у поступку стечаја над стечајним дужником  </w:t>
      </w:r>
      <w:proofErr w:type="spellStart"/>
      <w:r w:rsidR="00C27D8B">
        <w:t>Relx</w:t>
      </w:r>
      <w:proofErr w:type="spellEnd"/>
      <w:r w:rsidR="00C27D8B">
        <w:t xml:space="preserve"> distribution see doo u </w:t>
      </w:r>
      <w:proofErr w:type="spellStart"/>
      <w:r w:rsidR="00C27D8B">
        <w:t>stečaju</w:t>
      </w:r>
      <w:proofErr w:type="spellEnd"/>
      <w:r w:rsidR="00C27D8B">
        <w:t xml:space="preserve"> </w:t>
      </w:r>
      <w:r w:rsidR="00C27D8B">
        <w:rPr>
          <w:lang w:val="ru-RU"/>
        </w:rPr>
        <w:t>Сремска Митровица</w:t>
      </w:r>
      <w:r w:rsidRPr="00DC5200">
        <w:rPr>
          <w:lang w:val="ru-RU"/>
        </w:rPr>
        <w:t>:</w:t>
      </w:r>
    </w:p>
    <w:p w:rsidR="00D125A1" w:rsidRPr="00584DD8" w:rsidRDefault="00B652F9" w:rsidP="00584DD8">
      <w:pPr>
        <w:jc w:val="both"/>
        <w:rPr>
          <w:b/>
          <w:lang w:val="ru-RU"/>
        </w:rPr>
      </w:pPr>
      <w:r>
        <w:rPr>
          <w:b/>
          <w:lang w:val="ru-RU"/>
        </w:rPr>
        <w:t>ПОЗИВ СТРУЧНИМ ЛИЦИМА</w:t>
      </w:r>
      <w:r w:rsidR="00D125A1" w:rsidRPr="00584DD8">
        <w:rPr>
          <w:b/>
          <w:lang w:val="ru-RU"/>
        </w:rPr>
        <w:t xml:space="preserve"> ЗА ДОСТАВЉАЊЕ ПОНУДЕ ЗА ВРШЕЊЕ ПРОЦЕНЕ ВРЕДНОСТИ </w:t>
      </w:r>
      <w:r w:rsidR="00971B1B">
        <w:rPr>
          <w:b/>
          <w:lang w:val="ru-RU"/>
        </w:rPr>
        <w:t>ЗАЛИХА И ОПРЕМЕ</w:t>
      </w:r>
      <w:r w:rsidR="00386A2C">
        <w:rPr>
          <w:b/>
          <w:lang w:val="ru-RU"/>
        </w:rPr>
        <w:t xml:space="preserve"> СТЕЧАЈНОГ ДУЖНИКА</w:t>
      </w:r>
      <w:bookmarkStart w:id="0" w:name="_GoBack"/>
      <w:bookmarkEnd w:id="0"/>
      <w:r>
        <w:rPr>
          <w:b/>
          <w:lang w:val="ru-RU"/>
        </w:rPr>
        <w:t xml:space="preserve"> </w:t>
      </w:r>
      <w:r w:rsidR="00971B1B">
        <w:rPr>
          <w:b/>
        </w:rPr>
        <w:t>RELX DISTRIBUTION SEE DOO U STEČAJU</w:t>
      </w:r>
      <w:r>
        <w:rPr>
          <w:b/>
          <w:lang w:val="ru-RU"/>
        </w:rPr>
        <w:t xml:space="preserve"> </w:t>
      </w:r>
    </w:p>
    <w:p w:rsidR="00D125A1" w:rsidRPr="004C6025" w:rsidRDefault="00D125A1" w:rsidP="00584DD8">
      <w:pPr>
        <w:jc w:val="both"/>
      </w:pPr>
      <w:r w:rsidRPr="004C6025">
        <w:t>УВОД</w:t>
      </w:r>
    </w:p>
    <w:p w:rsidR="00B652F9" w:rsidRPr="006775AE" w:rsidRDefault="00D125A1" w:rsidP="00A6700B">
      <w:pPr>
        <w:jc w:val="both"/>
        <w:rPr>
          <w:lang w:val="sr-Cyrl-BA"/>
        </w:rPr>
      </w:pPr>
      <w:r w:rsidRPr="00DC5200">
        <w:rPr>
          <w:lang w:val="ru-RU"/>
        </w:rPr>
        <w:t>Решењем Привредног суда у Сремској Митровици Ст 24/20</w:t>
      </w:r>
      <w:r w:rsidR="004E2AFE">
        <w:t>24</w:t>
      </w:r>
      <w:r w:rsidRPr="00DC5200">
        <w:rPr>
          <w:lang w:val="ru-RU"/>
        </w:rPr>
        <w:t xml:space="preserve"> од </w:t>
      </w:r>
      <w:r w:rsidR="004E2AFE">
        <w:t>22</w:t>
      </w:r>
      <w:r w:rsidRPr="00DC5200">
        <w:rPr>
          <w:lang w:val="ru-RU"/>
        </w:rPr>
        <w:t>.10.20</w:t>
      </w:r>
      <w:r w:rsidR="004E2AFE">
        <w:t>24</w:t>
      </w:r>
      <w:r w:rsidRPr="00DC5200">
        <w:rPr>
          <w:lang w:val="ru-RU"/>
        </w:rPr>
        <w:t xml:space="preserve">. године отворен је стечајни поступак над стечајним дужником </w:t>
      </w:r>
      <w:proofErr w:type="spellStart"/>
      <w:r w:rsidR="004E2AFE">
        <w:t>Relx</w:t>
      </w:r>
      <w:proofErr w:type="spellEnd"/>
      <w:r w:rsidR="004E2AFE">
        <w:t xml:space="preserve"> distribution see doo u </w:t>
      </w:r>
      <w:proofErr w:type="spellStart"/>
      <w:r w:rsidR="004E2AFE">
        <w:t>stečaju</w:t>
      </w:r>
      <w:proofErr w:type="spellEnd"/>
      <w:r w:rsidR="004E2AFE">
        <w:t xml:space="preserve"> </w:t>
      </w:r>
      <w:r w:rsidR="004E2AFE">
        <w:rPr>
          <w:lang w:val="ru-RU"/>
        </w:rPr>
        <w:t>Сремска Митровица</w:t>
      </w:r>
      <w:r w:rsidRPr="00DC5200">
        <w:rPr>
          <w:lang w:val="ru-RU"/>
        </w:rPr>
        <w:t xml:space="preserve">.  Дана </w:t>
      </w:r>
      <w:r w:rsidR="004E2AFE">
        <w:t>21</w:t>
      </w:r>
      <w:r w:rsidRPr="00DC5200">
        <w:rPr>
          <w:lang w:val="ru-RU"/>
        </w:rPr>
        <w:t>.</w:t>
      </w:r>
      <w:r w:rsidR="004E2AFE">
        <w:t>01</w:t>
      </w:r>
      <w:r w:rsidRPr="00DC5200">
        <w:rPr>
          <w:lang w:val="ru-RU"/>
        </w:rPr>
        <w:t>.20</w:t>
      </w:r>
      <w:r w:rsidR="004E2AFE">
        <w:t>2</w:t>
      </w:r>
      <w:r w:rsidR="004E2AFE">
        <w:rPr>
          <w:lang w:val="sr-Cyrl-BA"/>
        </w:rPr>
        <w:t>5</w:t>
      </w:r>
      <w:r w:rsidRPr="00DC5200">
        <w:rPr>
          <w:lang w:val="ru-RU"/>
        </w:rPr>
        <w:t xml:space="preserve">. године донето је </w:t>
      </w:r>
      <w:r w:rsidR="004E2AFE">
        <w:rPr>
          <w:lang w:val="sr-Cyrl-BA"/>
        </w:rPr>
        <w:t xml:space="preserve">правоснажно </w:t>
      </w:r>
      <w:r w:rsidRPr="00DC5200">
        <w:rPr>
          <w:lang w:val="ru-RU"/>
        </w:rPr>
        <w:t>Решење Привредног суда у Сремској Митровици којим се одређује банкротство стечајног дужника</w:t>
      </w:r>
      <w:r w:rsidR="004E2AFE">
        <w:rPr>
          <w:lang w:val="ru-RU"/>
        </w:rPr>
        <w:t xml:space="preserve">. Стечајни </w:t>
      </w:r>
      <w:r w:rsidR="006775AE">
        <w:rPr>
          <w:lang w:val="sr-Cyrl-BA"/>
        </w:rPr>
        <w:t xml:space="preserve">управник оглашава прикупљање понуда за процену </w:t>
      </w:r>
      <w:r w:rsidR="00E37E6D">
        <w:rPr>
          <w:lang w:val="sr-Cyrl-BA"/>
        </w:rPr>
        <w:t>имовине</w:t>
      </w:r>
      <w:r w:rsidR="00971B1B">
        <w:t xml:space="preserve"> </w:t>
      </w:r>
      <w:r w:rsidR="00971B1B">
        <w:rPr>
          <w:lang w:val="sr-Cyrl-BA"/>
        </w:rPr>
        <w:t>– залиха и половне опреме</w:t>
      </w:r>
      <w:r w:rsidR="00E37E6D">
        <w:rPr>
          <w:lang w:val="sr-Cyrl-BA"/>
        </w:rPr>
        <w:t>.</w:t>
      </w:r>
      <w:r w:rsidR="006775AE">
        <w:rPr>
          <w:lang w:val="sr-Cyrl-BA"/>
        </w:rPr>
        <w:t xml:space="preserve"> </w:t>
      </w:r>
    </w:p>
    <w:p w:rsidR="00D125A1" w:rsidRPr="004C6025" w:rsidRDefault="00D125A1" w:rsidP="00A6700B">
      <w:pPr>
        <w:pStyle w:val="ListParagraph"/>
        <w:numPr>
          <w:ilvl w:val="0"/>
          <w:numId w:val="1"/>
        </w:numPr>
        <w:jc w:val="both"/>
      </w:pPr>
      <w:r w:rsidRPr="004C6025">
        <w:t>СВРХА ПРОЦЕНЕ</w:t>
      </w:r>
    </w:p>
    <w:p w:rsidR="00D125A1" w:rsidRPr="00DC5200" w:rsidRDefault="00D125A1" w:rsidP="00A6700B">
      <w:pPr>
        <w:jc w:val="both"/>
        <w:rPr>
          <w:lang w:val="ru-RU"/>
        </w:rPr>
      </w:pPr>
      <w:r w:rsidRPr="00DC5200">
        <w:rPr>
          <w:lang w:val="ru-RU"/>
        </w:rPr>
        <w:t xml:space="preserve">Сврха процене је да се утврди стратегија продаје у циљу остваривања највеће продајне вредности и максимално могућег колективног намирења поверилаца. Стечајни управник ће у складу са чланом 132. став 2. </w:t>
      </w:r>
      <w:r w:rsidR="006775AE">
        <w:rPr>
          <w:lang w:val="ru-RU"/>
        </w:rPr>
        <w:t>Извештај о процени</w:t>
      </w:r>
      <w:r w:rsidRPr="00DC5200">
        <w:rPr>
          <w:lang w:val="ru-RU"/>
        </w:rPr>
        <w:t xml:space="preserve"> доставити суду и одбору поверилаца.  </w:t>
      </w:r>
    </w:p>
    <w:p w:rsidR="00D125A1" w:rsidRPr="004C6025" w:rsidRDefault="00D125A1" w:rsidP="00A6700B">
      <w:pPr>
        <w:pStyle w:val="ListParagraph"/>
        <w:numPr>
          <w:ilvl w:val="0"/>
          <w:numId w:val="1"/>
        </w:numPr>
        <w:jc w:val="both"/>
      </w:pPr>
      <w:r w:rsidRPr="004C6025">
        <w:t>ИЗВЕШТАЈ О ПРОЦЕНИ</w:t>
      </w:r>
    </w:p>
    <w:p w:rsidR="00D125A1" w:rsidRPr="00DC5200" w:rsidRDefault="00D125A1" w:rsidP="00422134">
      <w:pPr>
        <w:jc w:val="both"/>
        <w:rPr>
          <w:lang w:val="ru-RU"/>
        </w:rPr>
      </w:pPr>
      <w:r w:rsidRPr="00DC5200">
        <w:rPr>
          <w:lang w:val="ru-RU"/>
        </w:rPr>
        <w:t xml:space="preserve">Проценитељ је дужан по завршетку процене да достави Извештај о процени у </w:t>
      </w:r>
      <w:r w:rsidR="00CC7E8F">
        <w:rPr>
          <w:lang w:val="ru-RU"/>
        </w:rPr>
        <w:t>три</w:t>
      </w:r>
      <w:r w:rsidRPr="00DC5200">
        <w:rPr>
          <w:lang w:val="ru-RU"/>
        </w:rPr>
        <w:t xml:space="preserve"> оригинална примерка у писаној и електронској форми која ће морати да садржи следеће:</w:t>
      </w:r>
    </w:p>
    <w:p w:rsidR="00D125A1" w:rsidRPr="00DC5200" w:rsidRDefault="00D125A1" w:rsidP="00422134">
      <w:pPr>
        <w:pStyle w:val="ListParagraph"/>
        <w:numPr>
          <w:ilvl w:val="0"/>
          <w:numId w:val="2"/>
        </w:numPr>
        <w:jc w:val="both"/>
        <w:rPr>
          <w:lang w:val="ru-RU"/>
        </w:rPr>
      </w:pPr>
      <w:r w:rsidRPr="00DC5200">
        <w:rPr>
          <w:lang w:val="ru-RU"/>
        </w:rPr>
        <w:t>Прецизно означен предмет процене, дефиницију вредности уз опис метода коришћења  у процени,</w:t>
      </w:r>
    </w:p>
    <w:p w:rsidR="00D125A1" w:rsidRPr="00DC5200" w:rsidRDefault="00D125A1" w:rsidP="00422134">
      <w:pPr>
        <w:pStyle w:val="ListParagraph"/>
        <w:numPr>
          <w:ilvl w:val="0"/>
          <w:numId w:val="2"/>
        </w:numPr>
        <w:jc w:val="both"/>
        <w:rPr>
          <w:lang w:val="ru-RU"/>
        </w:rPr>
      </w:pPr>
      <w:r w:rsidRPr="00DC5200">
        <w:rPr>
          <w:lang w:val="ru-RU"/>
        </w:rPr>
        <w:t>Закључак о процењеној ликвидационој вредности имовине стечајног дужника</w:t>
      </w:r>
    </w:p>
    <w:p w:rsidR="00D125A1" w:rsidRDefault="00D125A1" w:rsidP="000A0886">
      <w:pPr>
        <w:pStyle w:val="ListParagraph"/>
        <w:numPr>
          <w:ilvl w:val="0"/>
          <w:numId w:val="2"/>
        </w:numPr>
        <w:jc w:val="both"/>
        <w:rPr>
          <w:lang w:val="ru-RU"/>
        </w:rPr>
      </w:pPr>
      <w:r w:rsidRPr="00DC5200">
        <w:rPr>
          <w:lang w:val="ru-RU"/>
        </w:rPr>
        <w:t>Закључак у вези целисходности најповољнијег начина продај</w:t>
      </w:r>
      <w:r w:rsidRPr="004C6025">
        <w:t>e</w:t>
      </w:r>
      <w:r w:rsidRPr="00DC5200">
        <w:rPr>
          <w:lang w:val="ru-RU"/>
        </w:rPr>
        <w:t>, мишљење проценитеља и предлог најповољнијег начина уновчења стечајне масе уз давање детаљног образложења</w:t>
      </w:r>
    </w:p>
    <w:p w:rsidR="00CC7E8F" w:rsidRPr="00DC5200" w:rsidRDefault="00CC7E8F" w:rsidP="00CC7E8F">
      <w:pPr>
        <w:pStyle w:val="ListParagraph"/>
        <w:jc w:val="both"/>
        <w:rPr>
          <w:lang w:val="ru-RU"/>
        </w:rPr>
      </w:pPr>
    </w:p>
    <w:p w:rsidR="00D125A1" w:rsidRPr="004C6025" w:rsidRDefault="00D125A1" w:rsidP="00A6700B">
      <w:pPr>
        <w:pStyle w:val="ListParagraph"/>
        <w:numPr>
          <w:ilvl w:val="0"/>
          <w:numId w:val="1"/>
        </w:numPr>
        <w:jc w:val="both"/>
      </w:pPr>
      <w:r w:rsidRPr="004C6025">
        <w:t>МЕТОД ПРОЦЕНЕ</w:t>
      </w:r>
    </w:p>
    <w:p w:rsidR="00D125A1" w:rsidRPr="00DC5200" w:rsidRDefault="00D125A1" w:rsidP="00A6700B">
      <w:pPr>
        <w:jc w:val="both"/>
        <w:rPr>
          <w:lang w:val="ru-RU"/>
        </w:rPr>
      </w:pPr>
      <w:r w:rsidRPr="00DC5200">
        <w:rPr>
          <w:lang w:val="ru-RU"/>
        </w:rPr>
        <w:t>Метод процене је прописан Законом о стечају, Националним стандардом и МРС. Понуђачи су дужни да опишу методе које намеравају да користе у својој процени.</w:t>
      </w:r>
    </w:p>
    <w:p w:rsidR="00CC7E8F" w:rsidRPr="00DC5200" w:rsidRDefault="00D125A1" w:rsidP="00A6700B">
      <w:pPr>
        <w:jc w:val="both"/>
        <w:rPr>
          <w:lang w:val="ru-RU"/>
        </w:rPr>
      </w:pPr>
      <w:r w:rsidRPr="00DC5200">
        <w:rPr>
          <w:lang w:val="ru-RU"/>
        </w:rPr>
        <w:t>У складу са Националним стандардом бр. 5  по којем утврђивање процењене вредности врши се у складу са Међународним стандардима финансијског извештавања.</w:t>
      </w:r>
    </w:p>
    <w:p w:rsidR="00D125A1" w:rsidRPr="004C6025" w:rsidRDefault="00D125A1" w:rsidP="00A6700B">
      <w:pPr>
        <w:pStyle w:val="ListParagraph"/>
        <w:numPr>
          <w:ilvl w:val="0"/>
          <w:numId w:val="1"/>
        </w:numPr>
        <w:jc w:val="both"/>
      </w:pPr>
      <w:r w:rsidRPr="004C6025">
        <w:t>ИНФОРМАЦИЈЕ ЗА ПОНУЂАЧЕ</w:t>
      </w:r>
    </w:p>
    <w:p w:rsidR="00D125A1" w:rsidRPr="00DC5200" w:rsidRDefault="00B652F9" w:rsidP="00A6700B">
      <w:pPr>
        <w:jc w:val="both"/>
        <w:rPr>
          <w:lang w:val="ru-RU"/>
        </w:rPr>
      </w:pPr>
      <w:r>
        <w:rPr>
          <w:lang w:val="ru-RU"/>
        </w:rPr>
        <w:t xml:space="preserve">Предмет процене је </w:t>
      </w:r>
      <w:r w:rsidR="00BB247B">
        <w:rPr>
          <w:lang w:val="ru-RU"/>
        </w:rPr>
        <w:t>покретна</w:t>
      </w:r>
      <w:r w:rsidR="00E37E6D">
        <w:rPr>
          <w:lang w:val="ru-RU"/>
        </w:rPr>
        <w:t xml:space="preserve"> имовина </w:t>
      </w:r>
      <w:r w:rsidR="00BB247B">
        <w:rPr>
          <w:lang w:val="ru-RU"/>
        </w:rPr>
        <w:t xml:space="preserve">и залихе </w:t>
      </w:r>
      <w:r>
        <w:rPr>
          <w:lang w:val="ru-RU"/>
        </w:rPr>
        <w:t>стечајн</w:t>
      </w:r>
      <w:r w:rsidR="00E37E6D">
        <w:rPr>
          <w:lang w:val="ru-RU"/>
        </w:rPr>
        <w:t>ог</w:t>
      </w:r>
      <w:r>
        <w:rPr>
          <w:lang w:val="ru-RU"/>
        </w:rPr>
        <w:t xml:space="preserve"> дужник</w:t>
      </w:r>
      <w:r w:rsidR="00E37E6D">
        <w:rPr>
          <w:lang w:val="ru-RU"/>
        </w:rPr>
        <w:t>а:</w:t>
      </w:r>
      <w:r>
        <w:rPr>
          <w:lang w:val="ru-RU"/>
        </w:rPr>
        <w:t xml:space="preserve"> </w:t>
      </w:r>
    </w:p>
    <w:p w:rsidR="001A3074" w:rsidRDefault="00BB247B" w:rsidP="00A6700B">
      <w:pPr>
        <w:pStyle w:val="ListParagraph"/>
        <w:numPr>
          <w:ilvl w:val="0"/>
          <w:numId w:val="6"/>
        </w:numPr>
        <w:spacing w:after="0"/>
        <w:jc w:val="both"/>
        <w:rPr>
          <w:lang w:val="ru-RU"/>
        </w:rPr>
      </w:pPr>
      <w:r>
        <w:rPr>
          <w:lang w:val="ru-RU"/>
        </w:rPr>
        <w:t>Покретну имовину чини половна опрема која је коришћена у пословању и то следећа:</w:t>
      </w:r>
    </w:p>
    <w:p w:rsidR="006B6A1E" w:rsidRPr="006B6A1E" w:rsidRDefault="006B6A1E" w:rsidP="006B6A1E">
      <w:pPr>
        <w:spacing w:after="0"/>
        <w:jc w:val="both"/>
        <w:rPr>
          <w:lang w:val="ru-RU"/>
        </w:rPr>
      </w:pPr>
    </w:p>
    <w:p w:rsidR="00BB247B" w:rsidRDefault="00BB247B" w:rsidP="00BB247B">
      <w:pPr>
        <w:pStyle w:val="ListParagraph"/>
        <w:spacing w:after="0"/>
        <w:jc w:val="both"/>
        <w:rPr>
          <w:lang w:val="ru-RU"/>
        </w:rPr>
      </w:pPr>
      <w:r>
        <w:rPr>
          <w:lang w:val="ru-RU"/>
        </w:rPr>
        <w:lastRenderedPageBreak/>
        <w:t>Штампач</w:t>
      </w:r>
      <w:r>
        <w:rPr>
          <w:lang w:val="ru-RU"/>
        </w:rPr>
        <w:tab/>
      </w:r>
      <w:r>
        <w:rPr>
          <w:lang w:val="ru-RU"/>
        </w:rPr>
        <w:tab/>
      </w:r>
      <w:r>
        <w:rPr>
          <w:lang w:val="ru-RU"/>
        </w:rPr>
        <w:tab/>
        <w:t>1ком</w:t>
      </w:r>
    </w:p>
    <w:p w:rsidR="00BB247B" w:rsidRDefault="00BB247B" w:rsidP="00BB247B">
      <w:pPr>
        <w:pStyle w:val="ListParagraph"/>
        <w:spacing w:after="0"/>
        <w:jc w:val="both"/>
        <w:rPr>
          <w:lang w:val="ru-RU"/>
        </w:rPr>
      </w:pPr>
      <w:r>
        <w:rPr>
          <w:lang w:val="ru-RU"/>
        </w:rPr>
        <w:t xml:space="preserve">Стаклена витрина </w:t>
      </w:r>
      <w:r>
        <w:rPr>
          <w:lang w:val="ru-RU"/>
        </w:rPr>
        <w:tab/>
      </w:r>
      <w:r>
        <w:rPr>
          <w:lang w:val="ru-RU"/>
        </w:rPr>
        <w:tab/>
        <w:t>2 ком</w:t>
      </w:r>
    </w:p>
    <w:p w:rsidR="00BB247B" w:rsidRDefault="00BB247B" w:rsidP="00BB247B">
      <w:pPr>
        <w:pStyle w:val="ListParagraph"/>
        <w:spacing w:after="0"/>
        <w:jc w:val="both"/>
        <w:rPr>
          <w:lang w:val="ru-RU"/>
        </w:rPr>
      </w:pPr>
      <w:r>
        <w:rPr>
          <w:lang w:val="ru-RU"/>
        </w:rPr>
        <w:t>Канцеларијски сто</w:t>
      </w:r>
      <w:r>
        <w:rPr>
          <w:lang w:val="ru-RU"/>
        </w:rPr>
        <w:tab/>
      </w:r>
      <w:r>
        <w:rPr>
          <w:lang w:val="ru-RU"/>
        </w:rPr>
        <w:tab/>
        <w:t>1 ком</w:t>
      </w:r>
    </w:p>
    <w:p w:rsidR="00BB247B" w:rsidRDefault="00BB247B" w:rsidP="00BB247B">
      <w:pPr>
        <w:pStyle w:val="ListParagraph"/>
        <w:spacing w:after="0"/>
        <w:jc w:val="both"/>
        <w:rPr>
          <w:lang w:val="ru-RU"/>
        </w:rPr>
      </w:pPr>
      <w:r>
        <w:rPr>
          <w:lang w:val="ru-RU"/>
        </w:rPr>
        <w:t>Плакар за канцеларију</w:t>
      </w:r>
      <w:r>
        <w:rPr>
          <w:lang w:val="ru-RU"/>
        </w:rPr>
        <w:tab/>
      </w:r>
      <w:r>
        <w:rPr>
          <w:lang w:val="ru-RU"/>
        </w:rPr>
        <w:tab/>
        <w:t>1 ком</w:t>
      </w:r>
    </w:p>
    <w:p w:rsidR="00BB247B" w:rsidRDefault="00BB247B" w:rsidP="00BB247B">
      <w:pPr>
        <w:spacing w:after="0"/>
        <w:jc w:val="both"/>
        <w:rPr>
          <w:lang w:val="ru-RU"/>
        </w:rPr>
      </w:pPr>
    </w:p>
    <w:p w:rsidR="00BB247B" w:rsidRDefault="00BB247B" w:rsidP="00BB247B">
      <w:pPr>
        <w:spacing w:after="0"/>
        <w:jc w:val="both"/>
        <w:rPr>
          <w:lang w:val="ru-RU"/>
        </w:rPr>
      </w:pPr>
      <w:r>
        <w:rPr>
          <w:lang w:val="ru-RU"/>
        </w:rPr>
        <w:t xml:space="preserve">       </w:t>
      </w:r>
      <w:r w:rsidRPr="00BB247B">
        <w:rPr>
          <w:lang w:val="ru-RU"/>
        </w:rPr>
        <w:t xml:space="preserve">- </w:t>
      </w:r>
      <w:r>
        <w:rPr>
          <w:lang w:val="ru-RU"/>
        </w:rPr>
        <w:t xml:space="preserve">    Залихе се односе на електронске цигарете, апарате и улошке и то као следеће:</w:t>
      </w:r>
    </w:p>
    <w:p w:rsidR="00BB247B" w:rsidRDefault="00BB247B" w:rsidP="00BB247B">
      <w:pPr>
        <w:spacing w:after="0"/>
        <w:jc w:val="both"/>
      </w:pPr>
      <w:r>
        <w:rPr>
          <w:lang w:val="ru-RU"/>
        </w:rPr>
        <w:tab/>
      </w:r>
      <w:proofErr w:type="spellStart"/>
      <w:r>
        <w:t>Relx</w:t>
      </w:r>
      <w:proofErr w:type="spellEnd"/>
      <w:r>
        <w:t xml:space="preserve"> starter + pod – </w:t>
      </w:r>
      <w:proofErr w:type="spellStart"/>
      <w:r>
        <w:t>aparat</w:t>
      </w:r>
      <w:proofErr w:type="spellEnd"/>
      <w:r>
        <w:t xml:space="preserve"> </w:t>
      </w:r>
      <w:proofErr w:type="spellStart"/>
      <w:proofErr w:type="gramStart"/>
      <w:r>
        <w:t>sa</w:t>
      </w:r>
      <w:proofErr w:type="spellEnd"/>
      <w:proofErr w:type="gramEnd"/>
      <w:r>
        <w:t xml:space="preserve"> </w:t>
      </w:r>
      <w:proofErr w:type="spellStart"/>
      <w:r>
        <w:t>uloškom</w:t>
      </w:r>
      <w:proofErr w:type="spellEnd"/>
      <w:r>
        <w:t xml:space="preserve"> </w:t>
      </w:r>
    </w:p>
    <w:p w:rsidR="00BB247B" w:rsidRDefault="00BB247B" w:rsidP="00BB247B">
      <w:pPr>
        <w:spacing w:after="0"/>
        <w:jc w:val="both"/>
      </w:pPr>
      <w:r>
        <w:tab/>
      </w:r>
      <w:proofErr w:type="spellStart"/>
      <w:r>
        <w:t>Relx</w:t>
      </w:r>
      <w:proofErr w:type="spellEnd"/>
      <w:r>
        <w:t xml:space="preserve"> infinity </w:t>
      </w:r>
      <w:proofErr w:type="spellStart"/>
      <w:r>
        <w:t>divice</w:t>
      </w:r>
      <w:proofErr w:type="spellEnd"/>
      <w:r>
        <w:t xml:space="preserve"> – </w:t>
      </w:r>
      <w:proofErr w:type="spellStart"/>
      <w:r>
        <w:t>aparat</w:t>
      </w:r>
      <w:proofErr w:type="spellEnd"/>
    </w:p>
    <w:p w:rsidR="00BB247B" w:rsidRDefault="00BB247B" w:rsidP="00BB247B">
      <w:pPr>
        <w:spacing w:after="0"/>
        <w:jc w:val="both"/>
      </w:pPr>
      <w:r>
        <w:tab/>
      </w:r>
      <w:proofErr w:type="spellStart"/>
      <w:r>
        <w:t>Relx</w:t>
      </w:r>
      <w:proofErr w:type="spellEnd"/>
      <w:r>
        <w:t xml:space="preserve"> pod – </w:t>
      </w:r>
      <w:proofErr w:type="spellStart"/>
      <w:r>
        <w:t>uložak</w:t>
      </w:r>
      <w:proofErr w:type="spellEnd"/>
    </w:p>
    <w:p w:rsidR="00BB247B" w:rsidRPr="00BB247B" w:rsidRDefault="00BB247B" w:rsidP="00BB247B">
      <w:pPr>
        <w:spacing w:after="0"/>
        <w:jc w:val="both"/>
      </w:pPr>
      <w:r>
        <w:tab/>
        <w:t xml:space="preserve">Waka mini 1 – </w:t>
      </w:r>
      <w:proofErr w:type="spellStart"/>
      <w:r>
        <w:t>jednokratni</w:t>
      </w:r>
      <w:proofErr w:type="spellEnd"/>
      <w:r>
        <w:t xml:space="preserve"> </w:t>
      </w:r>
      <w:proofErr w:type="spellStart"/>
      <w:r>
        <w:t>aparat</w:t>
      </w:r>
      <w:proofErr w:type="spellEnd"/>
    </w:p>
    <w:p w:rsidR="003915D7" w:rsidRPr="003915D7" w:rsidRDefault="003915D7" w:rsidP="003915D7">
      <w:pPr>
        <w:pStyle w:val="ListParagraph"/>
        <w:spacing w:after="0"/>
        <w:jc w:val="both"/>
        <w:rPr>
          <w:lang w:val="ru-RU"/>
        </w:rPr>
      </w:pPr>
    </w:p>
    <w:p w:rsidR="00D125A1" w:rsidRPr="00DC5200" w:rsidRDefault="00D125A1" w:rsidP="001A3074">
      <w:pPr>
        <w:jc w:val="both"/>
        <w:rPr>
          <w:lang w:val="ru-RU"/>
        </w:rPr>
      </w:pPr>
      <w:r w:rsidRPr="00DC5200">
        <w:rPr>
          <w:lang w:val="ru-RU"/>
        </w:rPr>
        <w:t xml:space="preserve">Заинтересовани понуђачи писане понуде подносе најкасније до </w:t>
      </w:r>
      <w:r w:rsidR="007F5978">
        <w:t>09</w:t>
      </w:r>
      <w:r w:rsidR="007F5978">
        <w:rPr>
          <w:lang w:val="ru-RU"/>
        </w:rPr>
        <w:t>.10</w:t>
      </w:r>
      <w:r>
        <w:rPr>
          <w:lang w:val="ru-RU"/>
        </w:rPr>
        <w:t>.202</w:t>
      </w:r>
      <w:r w:rsidR="001D112A">
        <w:rPr>
          <w:lang w:val="ru-RU"/>
        </w:rPr>
        <w:t>5</w:t>
      </w:r>
      <w:r>
        <w:rPr>
          <w:lang w:val="ru-RU"/>
        </w:rPr>
        <w:t>.</w:t>
      </w:r>
      <w:r w:rsidRPr="00DC5200">
        <w:rPr>
          <w:lang w:val="ru-RU"/>
        </w:rPr>
        <w:t xml:space="preserve"> </w:t>
      </w:r>
      <w:r w:rsidR="009214D2">
        <w:rPr>
          <w:lang w:val="ru-RU"/>
        </w:rPr>
        <w:t xml:space="preserve">године </w:t>
      </w:r>
      <w:r w:rsidR="001A3074">
        <w:rPr>
          <w:lang w:val="sr-Cyrl-BA"/>
        </w:rPr>
        <w:t xml:space="preserve">на адресу канцеларије стечајног управника: Зоран Стојановић, ул. Арсенија Чарнојевића 14/7 Сремска Митровица (у коверти </w:t>
      </w:r>
      <w:r w:rsidRPr="00DC5200">
        <w:rPr>
          <w:lang w:val="ru-RU"/>
        </w:rPr>
        <w:t>са јасном назнаком ПРУЖАЊЕ УСЛУГА ПРОЦЕНЕ ВРЕДНОСТИ</w:t>
      </w:r>
      <w:r w:rsidR="001A3074">
        <w:rPr>
          <w:lang w:val="ru-RU"/>
        </w:rPr>
        <w:t xml:space="preserve"> </w:t>
      </w:r>
      <w:r w:rsidR="00215797">
        <w:rPr>
          <w:lang w:val="ru-RU"/>
        </w:rPr>
        <w:t xml:space="preserve">ПРЕДМЕТНЕ </w:t>
      </w:r>
      <w:r w:rsidR="001A3074">
        <w:rPr>
          <w:lang w:val="ru-RU"/>
        </w:rPr>
        <w:t>ИМОВИНЕ</w:t>
      </w:r>
      <w:r w:rsidRPr="00DC5200">
        <w:rPr>
          <w:lang w:val="ru-RU"/>
        </w:rPr>
        <w:t xml:space="preserve"> </w:t>
      </w:r>
      <w:r w:rsidR="006775AE">
        <w:rPr>
          <w:lang w:val="ru-RU"/>
        </w:rPr>
        <w:t xml:space="preserve">СТЕЧАЈНОГ ДУЖНИКА </w:t>
      </w:r>
      <w:r w:rsidR="00215797">
        <w:t>RELX DISTRIBUTION SEE DOO U STEČAJU</w:t>
      </w:r>
      <w:r w:rsidR="001A3074">
        <w:rPr>
          <w:lang w:val="ru-RU"/>
        </w:rPr>
        <w:t>).</w:t>
      </w:r>
    </w:p>
    <w:p w:rsidR="00D125A1" w:rsidRPr="004C6025" w:rsidRDefault="00D125A1" w:rsidP="00A6700B">
      <w:pPr>
        <w:jc w:val="both"/>
      </w:pPr>
      <w:r w:rsidRPr="00DC5200">
        <w:rPr>
          <w:lang w:val="ru-RU"/>
        </w:rPr>
        <w:t xml:space="preserve">Понуђач уз понуду доставља фотокопију докумената која не смеју бити старија од 12 месеци од дана пријема понуде. Наручиоци задржавају право да захтевају од Понуђача накнадно достављање на увид оригиналне документације. </w:t>
      </w:r>
      <w:proofErr w:type="spellStart"/>
      <w:r w:rsidRPr="004C6025">
        <w:t>Понуда</w:t>
      </w:r>
      <w:proofErr w:type="spellEnd"/>
      <w:r w:rsidRPr="004C6025">
        <w:t xml:space="preserve"> </w:t>
      </w:r>
      <w:proofErr w:type="spellStart"/>
      <w:r w:rsidRPr="004C6025">
        <w:t>треба</w:t>
      </w:r>
      <w:proofErr w:type="spellEnd"/>
      <w:r w:rsidRPr="004C6025">
        <w:t xml:space="preserve"> </w:t>
      </w:r>
      <w:proofErr w:type="spellStart"/>
      <w:r w:rsidRPr="004C6025">
        <w:t>да</w:t>
      </w:r>
      <w:proofErr w:type="spellEnd"/>
      <w:r w:rsidRPr="004C6025">
        <w:t xml:space="preserve"> </w:t>
      </w:r>
      <w:proofErr w:type="spellStart"/>
      <w:r w:rsidRPr="004C6025">
        <w:t>садржи</w:t>
      </w:r>
      <w:proofErr w:type="spellEnd"/>
      <w:r w:rsidRPr="004C6025">
        <w:t>:</w:t>
      </w:r>
    </w:p>
    <w:p w:rsidR="00D125A1" w:rsidRPr="00DC5200" w:rsidRDefault="00D125A1" w:rsidP="00A6700B">
      <w:pPr>
        <w:pStyle w:val="ListParagraph"/>
        <w:numPr>
          <w:ilvl w:val="0"/>
          <w:numId w:val="3"/>
        </w:numPr>
        <w:jc w:val="both"/>
        <w:rPr>
          <w:lang w:val="ru-RU"/>
        </w:rPr>
      </w:pPr>
      <w:r w:rsidRPr="00DC5200">
        <w:rPr>
          <w:lang w:val="ru-RU"/>
        </w:rPr>
        <w:t>Доказе о испуњености услова из тачке 6. овог огласа</w:t>
      </w:r>
    </w:p>
    <w:p w:rsidR="00D125A1" w:rsidRPr="00DC5200" w:rsidRDefault="00D125A1" w:rsidP="00A6700B">
      <w:pPr>
        <w:pStyle w:val="ListParagraph"/>
        <w:numPr>
          <w:ilvl w:val="0"/>
          <w:numId w:val="3"/>
        </w:numPr>
        <w:jc w:val="both"/>
        <w:rPr>
          <w:lang w:val="ru-RU"/>
        </w:rPr>
      </w:pPr>
      <w:r w:rsidRPr="00DC5200">
        <w:rPr>
          <w:lang w:val="ru-RU"/>
        </w:rPr>
        <w:t>Имена чланова ужег тима који ће радити процену са задужењима и референцама</w:t>
      </w:r>
    </w:p>
    <w:p w:rsidR="00D125A1" w:rsidRPr="00DC5200" w:rsidRDefault="00D125A1" w:rsidP="00A6700B">
      <w:pPr>
        <w:pStyle w:val="ListParagraph"/>
        <w:numPr>
          <w:ilvl w:val="0"/>
          <w:numId w:val="3"/>
        </w:numPr>
        <w:jc w:val="both"/>
        <w:rPr>
          <w:lang w:val="ru-RU"/>
        </w:rPr>
      </w:pPr>
      <w:r w:rsidRPr="00DC5200">
        <w:rPr>
          <w:lang w:val="ru-RU"/>
        </w:rPr>
        <w:t xml:space="preserve">Рок у којем ће завршити процену </w:t>
      </w:r>
    </w:p>
    <w:p w:rsidR="00D125A1" w:rsidRPr="00DC5200" w:rsidRDefault="00D125A1" w:rsidP="00A6700B">
      <w:pPr>
        <w:pStyle w:val="ListParagraph"/>
        <w:numPr>
          <w:ilvl w:val="0"/>
          <w:numId w:val="3"/>
        </w:numPr>
        <w:jc w:val="both"/>
        <w:rPr>
          <w:lang w:val="ru-RU"/>
        </w:rPr>
      </w:pPr>
      <w:r w:rsidRPr="00DC5200">
        <w:rPr>
          <w:lang w:val="ru-RU"/>
        </w:rPr>
        <w:t>Цену за пружену услугу исказану у динарима</w:t>
      </w:r>
    </w:p>
    <w:p w:rsidR="00CC7E8F" w:rsidRPr="009214D2" w:rsidRDefault="00D125A1" w:rsidP="009214D2">
      <w:pPr>
        <w:pStyle w:val="ListParagraph"/>
        <w:numPr>
          <w:ilvl w:val="0"/>
          <w:numId w:val="3"/>
        </w:numPr>
        <w:jc w:val="both"/>
        <w:rPr>
          <w:lang w:val="ru-RU"/>
        </w:rPr>
      </w:pPr>
      <w:r w:rsidRPr="00DC5200">
        <w:rPr>
          <w:lang w:val="ru-RU"/>
        </w:rPr>
        <w:t>Рок за исплату накнаде за извршену услугу</w:t>
      </w:r>
    </w:p>
    <w:p w:rsidR="00D125A1" w:rsidRPr="004C6025" w:rsidRDefault="00D125A1" w:rsidP="00A6700B">
      <w:pPr>
        <w:jc w:val="both"/>
      </w:pPr>
      <w:proofErr w:type="spellStart"/>
      <w:r w:rsidRPr="004C6025">
        <w:t>Уз</w:t>
      </w:r>
      <w:proofErr w:type="spellEnd"/>
      <w:r w:rsidRPr="004C6025">
        <w:t xml:space="preserve"> </w:t>
      </w:r>
      <w:proofErr w:type="spellStart"/>
      <w:r w:rsidRPr="004C6025">
        <w:t>понуду</w:t>
      </w:r>
      <w:proofErr w:type="spellEnd"/>
      <w:r w:rsidRPr="004C6025">
        <w:t xml:space="preserve"> </w:t>
      </w:r>
      <w:proofErr w:type="spellStart"/>
      <w:r w:rsidRPr="004C6025">
        <w:t>доставити</w:t>
      </w:r>
      <w:proofErr w:type="spellEnd"/>
      <w:r w:rsidRPr="004C6025">
        <w:t>:</w:t>
      </w:r>
    </w:p>
    <w:p w:rsidR="00D125A1" w:rsidRPr="00DC5200" w:rsidRDefault="00D125A1" w:rsidP="00A6700B">
      <w:pPr>
        <w:pStyle w:val="ListParagraph"/>
        <w:numPr>
          <w:ilvl w:val="0"/>
          <w:numId w:val="4"/>
        </w:numPr>
        <w:jc w:val="both"/>
        <w:rPr>
          <w:lang w:val="ru-RU"/>
        </w:rPr>
      </w:pPr>
      <w:r w:rsidRPr="00DC5200">
        <w:rPr>
          <w:lang w:val="ru-RU"/>
        </w:rPr>
        <w:t>Доказ о овлашћењу за обављање послова односно обављање делатности процене правних лица и имовине, лиценцу, решење из АПР-а, сертификате, уверења и друга документација издата од надлежних органа</w:t>
      </w:r>
    </w:p>
    <w:p w:rsidR="00D125A1" w:rsidRPr="004C6025" w:rsidRDefault="00D125A1" w:rsidP="00A6700B">
      <w:pPr>
        <w:pStyle w:val="ListParagraph"/>
        <w:numPr>
          <w:ilvl w:val="0"/>
          <w:numId w:val="4"/>
        </w:numPr>
        <w:jc w:val="both"/>
      </w:pPr>
      <w:proofErr w:type="spellStart"/>
      <w:r w:rsidRPr="004C6025">
        <w:t>Доказе</w:t>
      </w:r>
      <w:proofErr w:type="spellEnd"/>
      <w:r w:rsidRPr="004C6025">
        <w:t xml:space="preserve"> о </w:t>
      </w:r>
      <w:proofErr w:type="spellStart"/>
      <w:r w:rsidRPr="004C6025">
        <w:t>стручности</w:t>
      </w:r>
      <w:proofErr w:type="spellEnd"/>
    </w:p>
    <w:p w:rsidR="00D125A1" w:rsidRPr="004C6025" w:rsidRDefault="00D125A1" w:rsidP="00A6700B">
      <w:pPr>
        <w:pStyle w:val="ListParagraph"/>
        <w:numPr>
          <w:ilvl w:val="0"/>
          <w:numId w:val="4"/>
        </w:numPr>
        <w:jc w:val="both"/>
      </w:pPr>
      <w:proofErr w:type="spellStart"/>
      <w:r w:rsidRPr="004C6025">
        <w:t>Референце</w:t>
      </w:r>
      <w:proofErr w:type="spellEnd"/>
      <w:r w:rsidRPr="004C6025">
        <w:t xml:space="preserve"> </w:t>
      </w:r>
      <w:proofErr w:type="spellStart"/>
      <w:r w:rsidRPr="004C6025">
        <w:t>досадашњег</w:t>
      </w:r>
      <w:proofErr w:type="spellEnd"/>
      <w:r w:rsidRPr="004C6025">
        <w:t xml:space="preserve"> </w:t>
      </w:r>
      <w:proofErr w:type="spellStart"/>
      <w:r w:rsidRPr="004C6025">
        <w:t>рада</w:t>
      </w:r>
      <w:proofErr w:type="spellEnd"/>
    </w:p>
    <w:p w:rsidR="009214D2" w:rsidRDefault="00D125A1" w:rsidP="009214D2">
      <w:pPr>
        <w:spacing w:after="0"/>
        <w:jc w:val="both"/>
        <w:rPr>
          <w:lang w:val="ru-RU"/>
        </w:rPr>
      </w:pPr>
      <w:r w:rsidRPr="00DC5200">
        <w:rPr>
          <w:lang w:val="ru-RU"/>
        </w:rPr>
        <w:t xml:space="preserve">Позивају се заинтересована лица да директним обиласком на лицу места утврде елементе за опредељеност понуде. У случају потребе и других података за опредељеност понуде заинтересована лица </w:t>
      </w:r>
      <w:r w:rsidR="001D112A" w:rsidRPr="00DC5200">
        <w:rPr>
          <w:lang w:val="ru-RU"/>
        </w:rPr>
        <w:t xml:space="preserve">се </w:t>
      </w:r>
      <w:r w:rsidRPr="00DC5200">
        <w:rPr>
          <w:lang w:val="ru-RU"/>
        </w:rPr>
        <w:t xml:space="preserve">могу јавити стечајном управнику Зорану </w:t>
      </w:r>
      <w:r w:rsidR="009214D2">
        <w:rPr>
          <w:lang w:val="ru-RU"/>
        </w:rPr>
        <w:t>Стојановић, тел: 063/8-555-288</w:t>
      </w:r>
      <w:r w:rsidRPr="00DC5200">
        <w:rPr>
          <w:lang w:val="ru-RU"/>
        </w:rPr>
        <w:t>,</w:t>
      </w:r>
    </w:p>
    <w:p w:rsidR="00D125A1" w:rsidRPr="00DC5200" w:rsidRDefault="00D125A1" w:rsidP="009214D2">
      <w:pPr>
        <w:spacing w:after="0"/>
        <w:jc w:val="both"/>
        <w:rPr>
          <w:lang w:val="ru-RU"/>
        </w:rPr>
      </w:pPr>
      <w:proofErr w:type="gramStart"/>
      <w:r>
        <w:t>e</w:t>
      </w:r>
      <w:r w:rsidRPr="00DC5200">
        <w:rPr>
          <w:lang w:val="ru-RU"/>
        </w:rPr>
        <w:t>-</w:t>
      </w:r>
      <w:r w:rsidRPr="004C6025">
        <w:t>mail</w:t>
      </w:r>
      <w:proofErr w:type="gramEnd"/>
      <w:r w:rsidRPr="00DC5200">
        <w:rPr>
          <w:lang w:val="ru-RU"/>
        </w:rPr>
        <w:t xml:space="preserve">: </w:t>
      </w:r>
      <w:hyperlink r:id="rId5" w:history="1">
        <w:r w:rsidRPr="004C6025">
          <w:rPr>
            <w:rStyle w:val="Hyperlink"/>
          </w:rPr>
          <w:t>stole</w:t>
        </w:r>
        <w:r w:rsidRPr="00DC5200">
          <w:rPr>
            <w:rStyle w:val="Hyperlink"/>
            <w:lang w:val="ru-RU"/>
          </w:rPr>
          <w:t>@</w:t>
        </w:r>
        <w:r w:rsidRPr="004C6025">
          <w:rPr>
            <w:rStyle w:val="Hyperlink"/>
          </w:rPr>
          <w:t>open</w:t>
        </w:r>
        <w:r w:rsidRPr="00DC5200">
          <w:rPr>
            <w:rStyle w:val="Hyperlink"/>
            <w:lang w:val="ru-RU"/>
          </w:rPr>
          <w:t>.</w:t>
        </w:r>
        <w:r w:rsidRPr="004C6025">
          <w:rPr>
            <w:rStyle w:val="Hyperlink"/>
          </w:rPr>
          <w:t>telekom</w:t>
        </w:r>
        <w:r w:rsidRPr="00DC5200">
          <w:rPr>
            <w:rStyle w:val="Hyperlink"/>
            <w:lang w:val="ru-RU"/>
          </w:rPr>
          <w:t>.</w:t>
        </w:r>
        <w:r w:rsidRPr="004C6025">
          <w:rPr>
            <w:rStyle w:val="Hyperlink"/>
          </w:rPr>
          <w:t>rs</w:t>
        </w:r>
      </w:hyperlink>
      <w:r w:rsidRPr="00DC5200">
        <w:rPr>
          <w:lang w:val="ru-RU"/>
        </w:rPr>
        <w:t xml:space="preserve"> </w:t>
      </w:r>
    </w:p>
    <w:p w:rsidR="00D125A1" w:rsidRPr="00DC5200" w:rsidRDefault="00D125A1" w:rsidP="0042495C">
      <w:pPr>
        <w:jc w:val="both"/>
        <w:rPr>
          <w:lang w:val="ru-RU"/>
        </w:rPr>
      </w:pPr>
      <w:r w:rsidRPr="00DC5200">
        <w:rPr>
          <w:lang w:val="ru-RU"/>
        </w:rPr>
        <w:t>У складу са Националним стандардом бр. 5 о начину и поступку уновчења имовине стечајног дужника о избору понуђача одлучује Одбор поверилаца стечајног дужника, узимајући осим финансијске понуде у обзир и стручност, референце и друге елементе понуде који су од значаја за вршење конкретне процене,  и то искључиво са Листе понуђача добијене од стечајног уп</w:t>
      </w:r>
      <w:r w:rsidR="00FE2840">
        <w:rPr>
          <w:lang w:val="ru-RU"/>
        </w:rPr>
        <w:t>р</w:t>
      </w:r>
      <w:r w:rsidRPr="00DC5200">
        <w:rPr>
          <w:lang w:val="ru-RU"/>
        </w:rPr>
        <w:t xml:space="preserve">авника. У случају да Одбор не донесе одлуку у року од 8 дана од дана истека рока за достављање понуде, избор понуђача врши стечајни управник, применом истих критеријума. </w:t>
      </w:r>
    </w:p>
    <w:p w:rsidR="00D125A1" w:rsidRPr="004C6025" w:rsidRDefault="00D125A1" w:rsidP="0042495C">
      <w:pPr>
        <w:jc w:val="both"/>
      </w:pPr>
      <w:r w:rsidRPr="00DC5200">
        <w:rPr>
          <w:lang w:val="ru-RU"/>
        </w:rPr>
        <w:t xml:space="preserve">Након донете одлуке о избору најбољег понуђача биће обавештени сви понуђачи. Наручилац задржава право да по пријему свих понуда донесе Одлуку да ниједног понуђача не изабере, о чему ће се понуђачима доставити писмено обавештење. </w:t>
      </w:r>
      <w:proofErr w:type="spellStart"/>
      <w:r w:rsidRPr="004C6025">
        <w:t>Цена</w:t>
      </w:r>
      <w:proofErr w:type="spellEnd"/>
      <w:r w:rsidRPr="004C6025">
        <w:t xml:space="preserve"> </w:t>
      </w:r>
      <w:proofErr w:type="spellStart"/>
      <w:r w:rsidRPr="004C6025">
        <w:t>није</w:t>
      </w:r>
      <w:proofErr w:type="spellEnd"/>
      <w:r w:rsidRPr="004C6025">
        <w:t xml:space="preserve"> </w:t>
      </w:r>
      <w:proofErr w:type="spellStart"/>
      <w:r w:rsidRPr="004C6025">
        <w:t>једини</w:t>
      </w:r>
      <w:proofErr w:type="spellEnd"/>
      <w:r w:rsidRPr="004C6025">
        <w:t xml:space="preserve"> </w:t>
      </w:r>
      <w:proofErr w:type="spellStart"/>
      <w:r w:rsidRPr="004C6025">
        <w:t>критеријум</w:t>
      </w:r>
      <w:proofErr w:type="spellEnd"/>
      <w:r w:rsidRPr="004C6025">
        <w:t xml:space="preserve"> </w:t>
      </w:r>
      <w:proofErr w:type="spellStart"/>
      <w:r w:rsidRPr="004C6025">
        <w:t>приликом</w:t>
      </w:r>
      <w:proofErr w:type="spellEnd"/>
      <w:r w:rsidRPr="004C6025">
        <w:t xml:space="preserve"> </w:t>
      </w:r>
      <w:proofErr w:type="spellStart"/>
      <w:r w:rsidRPr="004C6025">
        <w:t>одабира</w:t>
      </w:r>
      <w:proofErr w:type="spellEnd"/>
      <w:r w:rsidRPr="004C6025">
        <w:t xml:space="preserve"> </w:t>
      </w:r>
      <w:proofErr w:type="spellStart"/>
      <w:r w:rsidRPr="004C6025">
        <w:t>проценитеља</w:t>
      </w:r>
      <w:proofErr w:type="spellEnd"/>
      <w:r w:rsidRPr="004C6025">
        <w:t xml:space="preserve">. </w:t>
      </w:r>
    </w:p>
    <w:p w:rsidR="00D125A1" w:rsidRPr="004C6025" w:rsidRDefault="00D125A1" w:rsidP="0042495C">
      <w:pPr>
        <w:pStyle w:val="ListParagraph"/>
        <w:numPr>
          <w:ilvl w:val="0"/>
          <w:numId w:val="1"/>
        </w:numPr>
        <w:jc w:val="both"/>
      </w:pPr>
      <w:r w:rsidRPr="004C6025">
        <w:t>УСЛОВИ КОНКУРИСАЊА</w:t>
      </w:r>
    </w:p>
    <w:p w:rsidR="00D125A1" w:rsidRPr="00DC5200" w:rsidRDefault="00D125A1" w:rsidP="0042495C">
      <w:pPr>
        <w:jc w:val="both"/>
        <w:rPr>
          <w:lang w:val="ru-RU"/>
        </w:rPr>
      </w:pPr>
      <w:r w:rsidRPr="00DC5200">
        <w:rPr>
          <w:lang w:val="ru-RU"/>
        </w:rPr>
        <w:t>Понуду за учествовање могу поднети сви понуђачи који испуњавају услове у смислу квалификационих захтева, утврђених од стране наручиоца, и то:</w:t>
      </w:r>
    </w:p>
    <w:p w:rsidR="00D125A1" w:rsidRPr="00DC5200" w:rsidRDefault="00D125A1" w:rsidP="0042495C">
      <w:pPr>
        <w:pStyle w:val="ListParagraph"/>
        <w:numPr>
          <w:ilvl w:val="0"/>
          <w:numId w:val="5"/>
        </w:numPr>
        <w:jc w:val="both"/>
        <w:rPr>
          <w:lang w:val="ru-RU"/>
        </w:rPr>
      </w:pPr>
      <w:r w:rsidRPr="00DC5200">
        <w:rPr>
          <w:lang w:val="ru-RU"/>
        </w:rPr>
        <w:t>Да је регистрован за обављање делатности код надлежног органа</w:t>
      </w:r>
    </w:p>
    <w:p w:rsidR="00D125A1" w:rsidRPr="00DC5200" w:rsidRDefault="00D125A1" w:rsidP="0042495C">
      <w:pPr>
        <w:pStyle w:val="ListParagraph"/>
        <w:numPr>
          <w:ilvl w:val="0"/>
          <w:numId w:val="5"/>
        </w:numPr>
        <w:jc w:val="both"/>
        <w:rPr>
          <w:lang w:val="ru-RU"/>
        </w:rPr>
      </w:pPr>
      <w:r w:rsidRPr="00DC5200">
        <w:rPr>
          <w:lang w:val="ru-RU"/>
        </w:rPr>
        <w:t>Лиценца за обављање послова овлашћеног проценитеља</w:t>
      </w:r>
    </w:p>
    <w:p w:rsidR="00D125A1" w:rsidRPr="00DC5200" w:rsidRDefault="00D125A1" w:rsidP="0042495C">
      <w:pPr>
        <w:pStyle w:val="ListParagraph"/>
        <w:numPr>
          <w:ilvl w:val="0"/>
          <w:numId w:val="5"/>
        </w:numPr>
        <w:jc w:val="both"/>
        <w:rPr>
          <w:lang w:val="ru-RU"/>
        </w:rPr>
      </w:pPr>
      <w:r w:rsidRPr="00DC5200">
        <w:rPr>
          <w:lang w:val="ru-RU"/>
        </w:rPr>
        <w:t>Да испуњава квалификационе услове, односно да располаже довољним кадровским и техничким капацитетом за вршење услуге из понуде</w:t>
      </w:r>
    </w:p>
    <w:p w:rsidR="00D125A1" w:rsidRPr="001D112A" w:rsidRDefault="00D125A1" w:rsidP="0042495C">
      <w:pPr>
        <w:jc w:val="both"/>
        <w:rPr>
          <w:lang w:val="ru-RU"/>
        </w:rPr>
      </w:pPr>
      <w:r w:rsidRPr="001D112A">
        <w:rPr>
          <w:lang w:val="ru-RU"/>
        </w:rPr>
        <w:t xml:space="preserve">У случају одустанка од поступка набавке, наручилац неће бити одговоран ни на који начин за стварну штету, изгубљену добит или било какву другу штету коју понуђач може услед тога да претрпи. </w:t>
      </w:r>
    </w:p>
    <w:p w:rsidR="00D125A1" w:rsidRPr="00DC5200" w:rsidRDefault="00D125A1" w:rsidP="0042495C">
      <w:pPr>
        <w:jc w:val="both"/>
        <w:rPr>
          <w:lang w:val="ru-RU"/>
        </w:rPr>
      </w:pPr>
    </w:p>
    <w:p w:rsidR="00D125A1" w:rsidRPr="004C6025" w:rsidRDefault="00D125A1" w:rsidP="003915D7">
      <w:pPr>
        <w:spacing w:after="0"/>
        <w:jc w:val="right"/>
      </w:pPr>
      <w:proofErr w:type="spellStart"/>
      <w:r w:rsidRPr="004C6025">
        <w:t>Стечајни</w:t>
      </w:r>
      <w:proofErr w:type="spellEnd"/>
      <w:r w:rsidRPr="004C6025">
        <w:t xml:space="preserve"> </w:t>
      </w:r>
      <w:proofErr w:type="spellStart"/>
      <w:r w:rsidRPr="004C6025">
        <w:t>управник</w:t>
      </w:r>
      <w:proofErr w:type="spellEnd"/>
    </w:p>
    <w:p w:rsidR="00D125A1" w:rsidRPr="004C6025" w:rsidRDefault="00D125A1" w:rsidP="003915D7">
      <w:pPr>
        <w:spacing w:after="0"/>
        <w:jc w:val="right"/>
      </w:pPr>
      <w:r w:rsidRPr="004C6025">
        <w:t>__________________</w:t>
      </w:r>
    </w:p>
    <w:p w:rsidR="00D125A1" w:rsidRPr="00CC7E8F" w:rsidRDefault="00D125A1" w:rsidP="003915D7">
      <w:pPr>
        <w:spacing w:after="0"/>
        <w:jc w:val="right"/>
      </w:pPr>
      <w:proofErr w:type="spellStart"/>
      <w:r>
        <w:t>Зоран</w:t>
      </w:r>
      <w:proofErr w:type="spellEnd"/>
      <w:r>
        <w:t xml:space="preserve"> </w:t>
      </w:r>
      <w:proofErr w:type="spellStart"/>
      <w:r>
        <w:t>Стојановић</w:t>
      </w:r>
      <w:proofErr w:type="spellEnd"/>
    </w:p>
    <w:sectPr w:rsidR="00D125A1" w:rsidRPr="00CC7E8F" w:rsidSect="00692C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1C5E6A"/>
    <w:multiLevelType w:val="hybridMultilevel"/>
    <w:tmpl w:val="9C7CDF44"/>
    <w:lvl w:ilvl="0" w:tplc="64A6B610">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F6E1021"/>
    <w:multiLevelType w:val="hybridMultilevel"/>
    <w:tmpl w:val="8FF65A60"/>
    <w:lvl w:ilvl="0" w:tplc="ADBA58EA">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5B41B7F"/>
    <w:multiLevelType w:val="hybridMultilevel"/>
    <w:tmpl w:val="233408C8"/>
    <w:lvl w:ilvl="0" w:tplc="64A6B610">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650052A"/>
    <w:multiLevelType w:val="hybridMultilevel"/>
    <w:tmpl w:val="A2006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BAB6848"/>
    <w:multiLevelType w:val="hybridMultilevel"/>
    <w:tmpl w:val="9CEEE48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5E5A5BCB"/>
    <w:multiLevelType w:val="hybridMultilevel"/>
    <w:tmpl w:val="7B48F938"/>
    <w:lvl w:ilvl="0" w:tplc="64A6B610">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3CA4C93"/>
    <w:multiLevelType w:val="hybridMultilevel"/>
    <w:tmpl w:val="B360F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5"/>
  </w:num>
  <w:num w:numId="4">
    <w:abstractNumId w:val="0"/>
  </w:num>
  <w:num w:numId="5">
    <w:abstractNumId w:val="2"/>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7"/>
  <w:proofState w:spelling="clean" w:grammar="clean"/>
  <w:defaultTabStop w:val="720"/>
  <w:characterSpacingControl w:val="doNotCompress"/>
  <w:savePreviewPicture/>
  <w:compat>
    <w:compatSetting w:name="compatibilityMode" w:uri="http://schemas.microsoft.com/office/word" w:val="12"/>
  </w:compat>
  <w:rsids>
    <w:rsidRoot w:val="00717A38"/>
    <w:rsid w:val="000A0886"/>
    <w:rsid w:val="000C6887"/>
    <w:rsid w:val="000E17B5"/>
    <w:rsid w:val="00113ABA"/>
    <w:rsid w:val="0012372A"/>
    <w:rsid w:val="00142835"/>
    <w:rsid w:val="00197F2A"/>
    <w:rsid w:val="001A3074"/>
    <w:rsid w:val="001C695B"/>
    <w:rsid w:val="001D112A"/>
    <w:rsid w:val="00215797"/>
    <w:rsid w:val="00251F0A"/>
    <w:rsid w:val="00261A54"/>
    <w:rsid w:val="00266BBF"/>
    <w:rsid w:val="002F415B"/>
    <w:rsid w:val="002F5CA2"/>
    <w:rsid w:val="00333287"/>
    <w:rsid w:val="00371929"/>
    <w:rsid w:val="00386A2C"/>
    <w:rsid w:val="003915D7"/>
    <w:rsid w:val="003A6FBB"/>
    <w:rsid w:val="003B77F3"/>
    <w:rsid w:val="004012F0"/>
    <w:rsid w:val="00415132"/>
    <w:rsid w:val="00417B75"/>
    <w:rsid w:val="00422134"/>
    <w:rsid w:val="0042495C"/>
    <w:rsid w:val="00457E13"/>
    <w:rsid w:val="004C6025"/>
    <w:rsid w:val="004D38BB"/>
    <w:rsid w:val="004E2AFE"/>
    <w:rsid w:val="00584DD8"/>
    <w:rsid w:val="00610B53"/>
    <w:rsid w:val="006159F5"/>
    <w:rsid w:val="00625CF1"/>
    <w:rsid w:val="006619BF"/>
    <w:rsid w:val="006775AE"/>
    <w:rsid w:val="006844EE"/>
    <w:rsid w:val="00692CCB"/>
    <w:rsid w:val="006B6A1E"/>
    <w:rsid w:val="006D5B25"/>
    <w:rsid w:val="006F3DD6"/>
    <w:rsid w:val="00717A38"/>
    <w:rsid w:val="007411A3"/>
    <w:rsid w:val="0076697F"/>
    <w:rsid w:val="00781206"/>
    <w:rsid w:val="007F5978"/>
    <w:rsid w:val="00810173"/>
    <w:rsid w:val="0081331C"/>
    <w:rsid w:val="008568FB"/>
    <w:rsid w:val="00891070"/>
    <w:rsid w:val="008F5395"/>
    <w:rsid w:val="009012A8"/>
    <w:rsid w:val="00911A31"/>
    <w:rsid w:val="009214D2"/>
    <w:rsid w:val="00930307"/>
    <w:rsid w:val="0093720F"/>
    <w:rsid w:val="00971B1B"/>
    <w:rsid w:val="00973E8B"/>
    <w:rsid w:val="00987751"/>
    <w:rsid w:val="009E173C"/>
    <w:rsid w:val="00A56032"/>
    <w:rsid w:val="00A6700B"/>
    <w:rsid w:val="00AE1997"/>
    <w:rsid w:val="00B16084"/>
    <w:rsid w:val="00B23D6E"/>
    <w:rsid w:val="00B652F9"/>
    <w:rsid w:val="00B674AA"/>
    <w:rsid w:val="00BB247B"/>
    <w:rsid w:val="00BF3BC1"/>
    <w:rsid w:val="00C25568"/>
    <w:rsid w:val="00C27D8B"/>
    <w:rsid w:val="00C605A6"/>
    <w:rsid w:val="00CC7E8F"/>
    <w:rsid w:val="00CF177B"/>
    <w:rsid w:val="00CF3C18"/>
    <w:rsid w:val="00D125A1"/>
    <w:rsid w:val="00D63004"/>
    <w:rsid w:val="00D7099C"/>
    <w:rsid w:val="00D7452D"/>
    <w:rsid w:val="00D9337C"/>
    <w:rsid w:val="00DB170D"/>
    <w:rsid w:val="00DC177D"/>
    <w:rsid w:val="00DC5200"/>
    <w:rsid w:val="00E010B8"/>
    <w:rsid w:val="00E15B0F"/>
    <w:rsid w:val="00E26E2A"/>
    <w:rsid w:val="00E37E6D"/>
    <w:rsid w:val="00E5001E"/>
    <w:rsid w:val="00E556B1"/>
    <w:rsid w:val="00EC0040"/>
    <w:rsid w:val="00EE0D08"/>
    <w:rsid w:val="00F10C54"/>
    <w:rsid w:val="00F40282"/>
    <w:rsid w:val="00F53EE9"/>
    <w:rsid w:val="00F55FFA"/>
    <w:rsid w:val="00F732BE"/>
    <w:rsid w:val="00FD018B"/>
    <w:rsid w:val="00FE28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EC44180"/>
  <w15:docId w15:val="{F91F18DB-69FB-4A35-A77B-BCAA1028B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2CC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717A38"/>
    <w:pPr>
      <w:ind w:left="720"/>
      <w:contextualSpacing/>
    </w:pPr>
  </w:style>
  <w:style w:type="character" w:styleId="Hyperlink">
    <w:name w:val="Hyperlink"/>
    <w:basedOn w:val="DefaultParagraphFont"/>
    <w:uiPriority w:val="99"/>
    <w:rsid w:val="00610B53"/>
    <w:rPr>
      <w:rFonts w:cs="Times New Roman"/>
      <w:color w:val="0000FF"/>
      <w:u w:val="single"/>
    </w:rPr>
  </w:style>
  <w:style w:type="paragraph" w:styleId="BalloonText">
    <w:name w:val="Balloon Text"/>
    <w:basedOn w:val="Normal"/>
    <w:link w:val="BalloonTextChar"/>
    <w:uiPriority w:val="99"/>
    <w:semiHidden/>
    <w:unhideWhenUsed/>
    <w:rsid w:val="00CC7E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7E8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tole@open.telekom.r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215</TotalTime>
  <Pages>1</Pages>
  <Words>785</Words>
  <Characters>4481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На основу Закона о стечају и у складу са Националним стандардом бр</vt:lpstr>
    </vt:vector>
  </TitlesOfParts>
  <Company/>
  <LinksUpToDate>false</LinksUpToDate>
  <CharactersWithSpaces>5256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 основу Закона о стечају и у складу са Националним стандардом бр</dc:title>
  <dc:creator>Jadranka</dc:creator>
  <cp:lastModifiedBy>TOSHIBA</cp:lastModifiedBy>
  <cp:revision>20</cp:revision>
  <cp:lastPrinted>2025-09-29T08:01:00Z</cp:lastPrinted>
  <dcterms:created xsi:type="dcterms:W3CDTF">2020-03-21T17:21:00Z</dcterms:created>
  <dcterms:modified xsi:type="dcterms:W3CDTF">2025-09-29T10:20:00Z</dcterms:modified>
</cp:coreProperties>
</file>