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D930" w14:textId="0905C801" w:rsidR="00D348F7" w:rsidRDefault="00B47619">
      <w:pPr>
        <w:pStyle w:val="Heading1"/>
        <w:spacing w:line="240" w:lineRule="auto"/>
        <w:jc w:val="both"/>
        <w:rPr>
          <w:rFonts w:ascii="Times New Roman" w:hAnsi="Times New Roman"/>
          <w:b w:val="0"/>
          <w:color w:val="auto"/>
          <w:sz w:val="22"/>
          <w:szCs w:val="22"/>
          <w:lang w:val="en-GB"/>
        </w:rPr>
      </w:pPr>
      <w:r>
        <w:rPr>
          <w:rFonts w:ascii="Times New Roman" w:hAnsi="Times New Roman"/>
          <w:b w:val="0"/>
          <w:color w:val="auto"/>
          <w:sz w:val="22"/>
          <w:szCs w:val="22"/>
          <w:lang w:val="sr-Cyrl-CS"/>
        </w:rPr>
        <w:t>На основу Решења Привредног суда у Сомбору Посл. бр.1 Ст 1/2016 од  24.10.2016. године којим се проглашава банкротство стечајног дужника, а у складу са чланом 28. Закона о стечају ( “Службени гласник Републике Србије “ број 104/2009, 99/2011-др Закон, 71/2012-одлука УС и 83/2014)</w:t>
      </w:r>
      <w:r w:rsidR="008B7358">
        <w:rPr>
          <w:rFonts w:ascii="Times New Roman" w:hAnsi="Times New Roman"/>
          <w:b w:val="0"/>
          <w:color w:val="auto"/>
          <w:sz w:val="22"/>
          <w:szCs w:val="22"/>
          <w:lang w:val="sr-Latn-RS"/>
        </w:rPr>
        <w:t xml:space="preserve"> </w:t>
      </w:r>
      <w:r w:rsidR="008B7358">
        <w:rPr>
          <w:rFonts w:ascii="Times New Roman" w:hAnsi="Times New Roman"/>
          <w:b w:val="0"/>
          <w:color w:val="auto"/>
          <w:sz w:val="22"/>
          <w:szCs w:val="22"/>
          <w:lang w:val="sr-Cyrl-RS"/>
        </w:rPr>
        <w:t>и сагласности одбора поверилаца од 27.07.2017.г., стечајни управник стечајног дужника</w:t>
      </w:r>
    </w:p>
    <w:p w14:paraId="7FCFBE86" w14:textId="77777777" w:rsidR="008955A4" w:rsidRPr="008955A4" w:rsidRDefault="008955A4" w:rsidP="008955A4">
      <w:pPr>
        <w:rPr>
          <w:lang w:val="en-GB"/>
        </w:rPr>
      </w:pPr>
    </w:p>
    <w:p w14:paraId="282B0CCA" w14:textId="77777777" w:rsidR="00D348F7" w:rsidRDefault="00B47619">
      <w:pPr>
        <w:spacing w:after="0" w:line="240" w:lineRule="auto"/>
        <w:jc w:val="center"/>
        <w:rPr>
          <w:rFonts w:ascii="Times New Roman" w:hAnsi="Times New Roman"/>
          <w:b/>
          <w:sz w:val="32"/>
          <w:szCs w:val="32"/>
          <w:lang w:val="sr-Cyrl-CS"/>
        </w:rPr>
      </w:pPr>
      <w:r>
        <w:rPr>
          <w:rFonts w:ascii="Times New Roman" w:hAnsi="Times New Roman"/>
          <w:b/>
          <w:sz w:val="32"/>
          <w:szCs w:val="32"/>
          <w:lang w:val="sr-Cyrl-CS"/>
        </w:rPr>
        <w:t>ДП „Борели“ Сомбор у стечају</w:t>
      </w:r>
    </w:p>
    <w:p w14:paraId="16965FA7" w14:textId="77777777" w:rsidR="00D348F7" w:rsidRDefault="00B47619">
      <w:pPr>
        <w:spacing w:after="0" w:line="240" w:lineRule="auto"/>
        <w:jc w:val="center"/>
        <w:rPr>
          <w:rFonts w:ascii="Times New Roman" w:hAnsi="Times New Roman"/>
          <w:sz w:val="20"/>
          <w:szCs w:val="20"/>
          <w:lang w:val="sr-Cyrl-CS"/>
        </w:rPr>
      </w:pPr>
      <w:r>
        <w:rPr>
          <w:rFonts w:ascii="Times New Roman" w:hAnsi="Times New Roman"/>
          <w:sz w:val="28"/>
          <w:szCs w:val="28"/>
          <w:lang w:val="sr-Cyrl-CS"/>
        </w:rPr>
        <w:t xml:space="preserve"> ул. Стапарски пут бб</w:t>
      </w:r>
    </w:p>
    <w:p w14:paraId="21E03AF9" w14:textId="77777777" w:rsidR="00D348F7" w:rsidRDefault="00D348F7">
      <w:pPr>
        <w:spacing w:after="0" w:line="240" w:lineRule="auto"/>
        <w:jc w:val="center"/>
        <w:rPr>
          <w:rFonts w:ascii="Times New Roman" w:hAnsi="Times New Roman"/>
          <w:sz w:val="28"/>
          <w:szCs w:val="28"/>
        </w:rPr>
      </w:pPr>
    </w:p>
    <w:p w14:paraId="324329DD" w14:textId="77777777" w:rsidR="00D348F7" w:rsidRDefault="00B47619" w:rsidP="00FA3A65">
      <w:pPr>
        <w:spacing w:after="120" w:line="240" w:lineRule="auto"/>
        <w:jc w:val="center"/>
        <w:rPr>
          <w:rFonts w:ascii="Times New Roman" w:hAnsi="Times New Roman"/>
          <w:b/>
          <w:sz w:val="28"/>
          <w:szCs w:val="28"/>
          <w:lang w:val="sr-Cyrl-CS"/>
        </w:rPr>
      </w:pPr>
      <w:r>
        <w:rPr>
          <w:rFonts w:ascii="Times New Roman" w:hAnsi="Times New Roman"/>
          <w:b/>
          <w:sz w:val="28"/>
          <w:szCs w:val="28"/>
          <w:lang w:val="sr-Cyrl-CS"/>
        </w:rPr>
        <w:t>објављује</w:t>
      </w:r>
    </w:p>
    <w:p w14:paraId="55A9E118" w14:textId="77777777" w:rsidR="00D348F7" w:rsidRDefault="00B47619" w:rsidP="00FA3A65">
      <w:pPr>
        <w:spacing w:after="120" w:line="240" w:lineRule="auto"/>
        <w:jc w:val="center"/>
        <w:rPr>
          <w:rFonts w:ascii="Times New Roman" w:hAnsi="Times New Roman"/>
          <w:b/>
          <w:sz w:val="32"/>
          <w:szCs w:val="32"/>
        </w:rPr>
      </w:pPr>
      <w:r>
        <w:rPr>
          <w:rFonts w:ascii="Times New Roman" w:hAnsi="Times New Roman"/>
          <w:b/>
          <w:sz w:val="28"/>
          <w:szCs w:val="28"/>
          <w:lang w:val="sr-Cyrl-CS"/>
        </w:rPr>
        <w:t>ОГЛАС</w:t>
      </w:r>
    </w:p>
    <w:p w14:paraId="712D3F71" w14:textId="1FAE4019" w:rsidR="00D348F7" w:rsidRDefault="00B47619" w:rsidP="00FA3A65">
      <w:pPr>
        <w:spacing w:after="120" w:line="240" w:lineRule="auto"/>
        <w:jc w:val="center"/>
        <w:rPr>
          <w:rFonts w:ascii="Times New Roman" w:hAnsi="Times New Roman"/>
          <w:b/>
          <w:sz w:val="28"/>
          <w:szCs w:val="28"/>
          <w:lang w:val="sr-Cyrl-RS"/>
        </w:rPr>
      </w:pPr>
      <w:r>
        <w:rPr>
          <w:rFonts w:ascii="Times New Roman" w:hAnsi="Times New Roman"/>
          <w:b/>
          <w:sz w:val="28"/>
          <w:szCs w:val="28"/>
          <w:lang w:val="sr-Cyrl-CS"/>
        </w:rPr>
        <w:t xml:space="preserve">за </w:t>
      </w:r>
      <w:r w:rsidR="008955A4">
        <w:rPr>
          <w:rFonts w:ascii="Times New Roman" w:hAnsi="Times New Roman"/>
          <w:b/>
          <w:sz w:val="28"/>
          <w:szCs w:val="28"/>
          <w:lang w:val="sr-Cyrl-RS"/>
        </w:rPr>
        <w:t xml:space="preserve">јавно </w:t>
      </w:r>
      <w:r>
        <w:rPr>
          <w:rFonts w:ascii="Times New Roman" w:hAnsi="Times New Roman"/>
          <w:b/>
          <w:sz w:val="28"/>
          <w:szCs w:val="28"/>
        </w:rPr>
        <w:t>прикупљање  писаних  понуда за издавање</w:t>
      </w:r>
      <w:r>
        <w:rPr>
          <w:rFonts w:ascii="Times New Roman" w:hAnsi="Times New Roman"/>
          <w:b/>
          <w:sz w:val="28"/>
          <w:szCs w:val="28"/>
          <w:lang w:val="sr-Cyrl-RS"/>
        </w:rPr>
        <w:t xml:space="preserve"> малопродајн</w:t>
      </w:r>
      <w:r w:rsidR="00EF592A">
        <w:rPr>
          <w:rFonts w:ascii="Times New Roman" w:hAnsi="Times New Roman"/>
          <w:b/>
          <w:sz w:val="28"/>
          <w:szCs w:val="28"/>
          <w:lang w:val="sr-Cyrl-RS"/>
        </w:rPr>
        <w:t>ог</w:t>
      </w:r>
      <w:r>
        <w:rPr>
          <w:rFonts w:ascii="Times New Roman" w:hAnsi="Times New Roman"/>
          <w:b/>
          <w:sz w:val="28"/>
          <w:szCs w:val="28"/>
          <w:lang w:val="sr-Cyrl-RS"/>
        </w:rPr>
        <w:t xml:space="preserve"> објекта у ЗАКУП</w:t>
      </w:r>
    </w:p>
    <w:p w14:paraId="6FE7B734" w14:textId="38F52F86" w:rsidR="00D348F7" w:rsidRDefault="00B47619" w:rsidP="00FA3A65">
      <w:pPr>
        <w:spacing w:after="0" w:line="240" w:lineRule="auto"/>
        <w:rPr>
          <w:rFonts w:ascii="Times New Roman" w:hAnsi="Times New Roman"/>
          <w:lang w:val="sr-Cyrl-RS"/>
        </w:rPr>
      </w:pPr>
      <w:r>
        <w:rPr>
          <w:rFonts w:ascii="Times New Roman" w:hAnsi="Times New Roman"/>
          <w:lang w:val="sr-Cyrl-RS"/>
        </w:rPr>
        <w:t xml:space="preserve">Предмет издавања у закуп </w:t>
      </w:r>
      <w:r w:rsidR="00EF592A">
        <w:rPr>
          <w:rFonts w:ascii="Times New Roman" w:hAnsi="Times New Roman"/>
          <w:lang w:val="sr-Cyrl-RS"/>
        </w:rPr>
        <w:t>је</w:t>
      </w:r>
      <w:r>
        <w:rPr>
          <w:rFonts w:ascii="Times New Roman" w:hAnsi="Times New Roman"/>
          <w:lang w:val="sr-Cyrl-RS"/>
        </w:rPr>
        <w:t xml:space="preserve"> малопродајни објек</w:t>
      </w:r>
      <w:r w:rsidR="00EF592A">
        <w:rPr>
          <w:rFonts w:ascii="Times New Roman" w:hAnsi="Times New Roman"/>
          <w:lang w:val="sr-Cyrl-RS"/>
        </w:rPr>
        <w:t>ат, и то</w:t>
      </w:r>
      <w:r>
        <w:rPr>
          <w:rFonts w:ascii="Times New Roman" w:hAnsi="Times New Roman"/>
          <w:lang w:val="sr-Cyrl-RS"/>
        </w:rPr>
        <w:t>:</w:t>
      </w:r>
    </w:p>
    <w:tbl>
      <w:tblPr>
        <w:tblW w:w="9214" w:type="dxa"/>
        <w:tblInd w:w="-5" w:type="dxa"/>
        <w:tblLayout w:type="fixed"/>
        <w:tblCellMar>
          <w:left w:w="10" w:type="dxa"/>
          <w:right w:w="10" w:type="dxa"/>
        </w:tblCellMar>
        <w:tblLook w:val="04A0" w:firstRow="1" w:lastRow="0" w:firstColumn="1" w:lastColumn="0" w:noHBand="0" w:noVBand="1"/>
      </w:tblPr>
      <w:tblGrid>
        <w:gridCol w:w="9214"/>
      </w:tblGrid>
      <w:tr w:rsidR="00EF592A" w14:paraId="6095904B" w14:textId="77777777" w:rsidTr="00EF592A">
        <w:tc>
          <w:tcPr>
            <w:tcW w:w="9214" w:type="dxa"/>
            <w:tcBorders>
              <w:top w:val="single" w:sz="4" w:space="0" w:color="00000A"/>
              <w:left w:val="single" w:sz="4" w:space="0" w:color="00000A"/>
              <w:bottom w:val="double" w:sz="2" w:space="0" w:color="00000A"/>
              <w:right w:val="single" w:sz="4" w:space="0" w:color="00000A"/>
            </w:tcBorders>
            <w:shd w:val="clear" w:color="auto" w:fill="F2F2F2"/>
            <w:tcMar>
              <w:top w:w="0" w:type="dxa"/>
              <w:left w:w="108" w:type="dxa"/>
              <w:bottom w:w="0" w:type="dxa"/>
              <w:right w:w="108" w:type="dxa"/>
            </w:tcMar>
          </w:tcPr>
          <w:p w14:paraId="4632067B" w14:textId="38847C94" w:rsidR="00EF592A" w:rsidRPr="00EF592A" w:rsidRDefault="00EF592A" w:rsidP="00EF592A">
            <w:pPr>
              <w:pStyle w:val="Standard"/>
              <w:spacing w:after="0" w:line="240" w:lineRule="auto"/>
              <w:ind w:right="-4928"/>
              <w:jc w:val="center"/>
              <w:rPr>
                <w:lang w:val="sr-Cyrl-RS"/>
              </w:rPr>
            </w:pPr>
          </w:p>
        </w:tc>
      </w:tr>
      <w:tr w:rsidR="00EF592A" w14:paraId="556256CF" w14:textId="77777777" w:rsidTr="00EF592A">
        <w:trPr>
          <w:trHeight w:val="1139"/>
        </w:trPr>
        <w:tc>
          <w:tcPr>
            <w:tcW w:w="9214" w:type="dxa"/>
            <w:tcBorders>
              <w:top w:val="double" w:sz="2" w:space="0" w:color="00000A"/>
              <w:left w:val="single" w:sz="4" w:space="0" w:color="00000A"/>
              <w:bottom w:val="single" w:sz="4" w:space="0" w:color="auto"/>
              <w:right w:val="single" w:sz="4" w:space="0" w:color="00000A"/>
            </w:tcBorders>
            <w:shd w:val="clear" w:color="auto" w:fill="FFFFFF" w:themeFill="background1"/>
            <w:tcMar>
              <w:top w:w="0" w:type="dxa"/>
              <w:left w:w="108" w:type="dxa"/>
              <w:bottom w:w="0" w:type="dxa"/>
              <w:right w:w="108" w:type="dxa"/>
            </w:tcMar>
          </w:tcPr>
          <w:p w14:paraId="3AF21AE2" w14:textId="40155068" w:rsidR="00EF592A" w:rsidRPr="00341CD4" w:rsidRDefault="00B57F9A" w:rsidP="00341CD4">
            <w:pPr>
              <w:pStyle w:val="Standard"/>
              <w:spacing w:after="0"/>
              <w:jc w:val="both"/>
              <w:rPr>
                <w:rFonts w:ascii="Times New Roman" w:hAnsi="Times New Roman"/>
                <w:lang w:val="sr-Cyrl-CS"/>
              </w:rPr>
            </w:pPr>
            <w:r w:rsidRPr="00341CD4">
              <w:rPr>
                <w:rFonts w:ascii="Times New Roman" w:hAnsi="Times New Roman"/>
                <w:b/>
                <w:bCs/>
                <w:lang w:val="sr-Cyrl-RS"/>
              </w:rPr>
              <w:t>ПОСЛОВНИ ПРОСТОР ТРГОВИНЕ</w:t>
            </w:r>
            <w:r w:rsidRPr="00B57F9A">
              <w:rPr>
                <w:rFonts w:ascii="Times New Roman" w:hAnsi="Times New Roman"/>
                <w:lang w:val="sr-Cyrl-RS"/>
              </w:rPr>
              <w:t xml:space="preserve"> у </w:t>
            </w:r>
            <w:r w:rsidRPr="00341CD4">
              <w:rPr>
                <w:rFonts w:ascii="Times New Roman" w:hAnsi="Times New Roman"/>
                <w:b/>
                <w:bCs/>
                <w:lang w:val="sr-Cyrl-RS"/>
              </w:rPr>
              <w:t>Алексинцу</w:t>
            </w:r>
            <w:r w:rsidRPr="00B57F9A">
              <w:rPr>
                <w:rFonts w:ascii="Times New Roman" w:hAnsi="Times New Roman"/>
                <w:lang w:val="sr-Cyrl-RS"/>
              </w:rPr>
              <w:t xml:space="preserve">, Књаза Милоша </w:t>
            </w:r>
            <w:r w:rsidR="008944E8">
              <w:rPr>
                <w:rFonts w:ascii="Times New Roman" w:hAnsi="Times New Roman"/>
                <w:lang w:val="sr-Cyrl-RS"/>
              </w:rPr>
              <w:t>86</w:t>
            </w:r>
            <w:r w:rsidRPr="00B57F9A">
              <w:rPr>
                <w:rFonts w:ascii="Times New Roman" w:hAnsi="Times New Roman"/>
                <w:b/>
                <w:bCs/>
                <w:lang w:val="sr-Cyrl-RS"/>
              </w:rPr>
              <w:t>,</w:t>
            </w:r>
            <w:r w:rsidRPr="00B57F9A">
              <w:rPr>
                <w:rFonts w:ascii="Times New Roman" w:hAnsi="Times New Roman"/>
                <w:lang w:val="sr-Cyrl-RS"/>
              </w:rPr>
              <w:t xml:space="preserve"> једна просторија у приземљу СТАМБЕНЕ ЗГРАДЕ ЗА КОЛЕКТИВНО СТАНОВАЊЕ изграђена на кат. парц. бр. 1198 К.О. Алексинац варош, објекат бр. 1, број посебног дела објекта 1, корисне површине  97 м</w:t>
            </w:r>
            <w:r w:rsidRPr="00B57F9A">
              <w:rPr>
                <w:rFonts w:ascii="Times New Roman" w:hAnsi="Times New Roman"/>
                <w:vertAlign w:val="superscript"/>
                <w:lang w:val="sr-Cyrl-RS"/>
              </w:rPr>
              <w:t>2</w:t>
            </w:r>
            <w:r w:rsidRPr="00B57F9A">
              <w:rPr>
                <w:rFonts w:ascii="Times New Roman" w:hAnsi="Times New Roman"/>
                <w:lang w:val="sr-Cyrl-RS"/>
              </w:rPr>
              <w:t>, у својини Д.П. „БОРЕЛИ“ у стечају, Сомбор, Стапарски пут бб.</w:t>
            </w:r>
          </w:p>
        </w:tc>
      </w:tr>
    </w:tbl>
    <w:p w14:paraId="78D10AC8" w14:textId="77777777"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Право учешћа у поступку  имају сва правна и физичка лица која:</w:t>
      </w:r>
    </w:p>
    <w:p w14:paraId="06978C67" w14:textId="3D57E283" w:rsidR="00D348F7" w:rsidRDefault="00B47619" w:rsidP="00FA3A65">
      <w:pPr>
        <w:pStyle w:val="ListParagraph"/>
        <w:numPr>
          <w:ilvl w:val="0"/>
          <w:numId w:val="1"/>
        </w:numPr>
        <w:spacing w:after="0" w:line="240" w:lineRule="auto"/>
        <w:ind w:left="0"/>
        <w:jc w:val="both"/>
        <w:rPr>
          <w:rFonts w:ascii="Times New Roman" w:hAnsi="Times New Roman"/>
          <w:lang w:val="sr-Cyrl-CS"/>
        </w:rPr>
      </w:pPr>
      <w:r>
        <w:rPr>
          <w:rFonts w:ascii="Times New Roman" w:hAnsi="Times New Roman"/>
          <w:lang w:val="sr-Cyrl-CS"/>
        </w:rPr>
        <w:t xml:space="preserve">уплате износ од </w:t>
      </w:r>
      <w:r w:rsidR="00EF592A">
        <w:rPr>
          <w:rFonts w:ascii="Times New Roman" w:hAnsi="Times New Roman"/>
          <w:lang w:val="sr-Cyrl-CS"/>
        </w:rPr>
        <w:t>1</w:t>
      </w:r>
      <w:r>
        <w:rPr>
          <w:rFonts w:ascii="Times New Roman" w:hAnsi="Times New Roman"/>
          <w:lang w:val="sr-Cyrl-CS"/>
        </w:rPr>
        <w:t xml:space="preserve">0.000,00 динара (износ </w:t>
      </w:r>
      <w:r>
        <w:rPr>
          <w:rFonts w:ascii="Times New Roman" w:hAnsi="Times New Roman"/>
        </w:rPr>
        <w:t>се увећава</w:t>
      </w:r>
      <w:r>
        <w:rPr>
          <w:rFonts w:ascii="Times New Roman" w:hAnsi="Times New Roman"/>
          <w:lang w:val="sr-Cyrl-CS"/>
        </w:rPr>
        <w:t xml:space="preserve"> за припадајући ПДВ) на име откупа конкурсне документације</w:t>
      </w:r>
      <w:r>
        <w:rPr>
          <w:rFonts w:ascii="Times New Roman" w:hAnsi="Times New Roman"/>
        </w:rPr>
        <w:t xml:space="preserve">, </w:t>
      </w:r>
      <w:r>
        <w:rPr>
          <w:rFonts w:ascii="Times New Roman" w:hAnsi="Times New Roman"/>
          <w:lang w:val="sr-Cyrl-CS"/>
        </w:rPr>
        <w:t xml:space="preserve"> на текући рачун стечајног дужника бр. 325-9500600031912-53 који је отворен код “</w:t>
      </w:r>
      <w:r w:rsidR="00FB6B44">
        <w:rPr>
          <w:rFonts w:ascii="Times New Roman" w:hAnsi="Times New Roman"/>
          <w:lang w:val="sr-Cyrl-CS"/>
        </w:rPr>
        <w:t>ОТП банка Србија</w:t>
      </w:r>
      <w:r>
        <w:rPr>
          <w:rFonts w:ascii="Times New Roman" w:hAnsi="Times New Roman"/>
          <w:lang w:val="sr-Cyrl-CS"/>
        </w:rPr>
        <w:t>”</w:t>
      </w:r>
      <w:r>
        <w:rPr>
          <w:rFonts w:ascii="Times New Roman" w:hAnsi="Times New Roman"/>
          <w:lang w:val="sr-Latn-RS"/>
        </w:rPr>
        <w:t xml:space="preserve"> </w:t>
      </w:r>
      <w:r>
        <w:rPr>
          <w:rFonts w:ascii="Times New Roman" w:hAnsi="Times New Roman"/>
          <w:lang w:val="sr-Cyrl-CS"/>
        </w:rPr>
        <w:t xml:space="preserve">а.д, Нови Сад, најкасније до </w:t>
      </w:r>
      <w:r w:rsidR="00FB6B44">
        <w:rPr>
          <w:rFonts w:ascii="Times New Roman" w:hAnsi="Times New Roman"/>
          <w:lang w:val="sr-Cyrl-RS"/>
        </w:rPr>
        <w:t>2</w:t>
      </w:r>
      <w:r w:rsidR="00EF592A">
        <w:rPr>
          <w:rFonts w:ascii="Times New Roman" w:hAnsi="Times New Roman"/>
          <w:lang w:val="sr-Cyrl-RS"/>
        </w:rPr>
        <w:t>1</w:t>
      </w:r>
      <w:r>
        <w:rPr>
          <w:rFonts w:ascii="Times New Roman" w:hAnsi="Times New Roman"/>
          <w:lang w:val="sr-Latn-RS"/>
        </w:rPr>
        <w:t xml:space="preserve">. </w:t>
      </w:r>
      <w:r w:rsidR="00EF592A">
        <w:rPr>
          <w:rFonts w:ascii="Times New Roman" w:hAnsi="Times New Roman"/>
          <w:lang w:val="sr-Cyrl-RS"/>
        </w:rPr>
        <w:t>марта</w:t>
      </w:r>
      <w:r>
        <w:rPr>
          <w:rFonts w:ascii="Times New Roman" w:hAnsi="Times New Roman"/>
          <w:lang w:val="sr-Cyrl-RS"/>
        </w:rPr>
        <w:t xml:space="preserve"> </w:t>
      </w:r>
      <w:r>
        <w:rPr>
          <w:rFonts w:ascii="Times New Roman" w:hAnsi="Times New Roman"/>
          <w:lang w:val="sr-Cyrl-CS"/>
        </w:rPr>
        <w:t>20</w:t>
      </w:r>
      <w:r w:rsidR="00FA3A65">
        <w:rPr>
          <w:rFonts w:ascii="Times New Roman" w:hAnsi="Times New Roman"/>
          <w:lang w:val="sr-Cyrl-CS"/>
        </w:rPr>
        <w:t>2</w:t>
      </w:r>
      <w:r w:rsidR="00EF592A">
        <w:rPr>
          <w:rFonts w:ascii="Times New Roman" w:hAnsi="Times New Roman"/>
          <w:lang w:val="sr-Cyrl-CS"/>
        </w:rPr>
        <w:t>5</w:t>
      </w:r>
      <w:r>
        <w:rPr>
          <w:rFonts w:ascii="Times New Roman" w:hAnsi="Times New Roman"/>
          <w:lang w:val="sr-Cyrl-CS"/>
        </w:rPr>
        <w:t>. године, уз претходну најаву поверенику стечајног управника;</w:t>
      </w:r>
    </w:p>
    <w:p w14:paraId="7EF1F4B3" w14:textId="648B0103" w:rsidR="00D348F7" w:rsidRDefault="00B47619" w:rsidP="00FA3A65">
      <w:pPr>
        <w:pStyle w:val="ListParagraph"/>
        <w:numPr>
          <w:ilvl w:val="0"/>
          <w:numId w:val="1"/>
        </w:numPr>
        <w:spacing w:after="0" w:line="240" w:lineRule="auto"/>
        <w:ind w:left="0"/>
        <w:jc w:val="both"/>
        <w:rPr>
          <w:rFonts w:ascii="Times New Roman" w:hAnsi="Times New Roman"/>
          <w:lang w:val="sr-Cyrl-CS"/>
        </w:rPr>
      </w:pPr>
      <w:r>
        <w:rPr>
          <w:rFonts w:ascii="Times New Roman" w:hAnsi="Times New Roman"/>
          <w:lang w:val="sr-Cyrl-CS"/>
        </w:rPr>
        <w:t xml:space="preserve">уплате </w:t>
      </w:r>
      <w:r w:rsidR="008944E8">
        <w:rPr>
          <w:rFonts w:ascii="Times New Roman" w:hAnsi="Times New Roman"/>
          <w:lang w:val="sr-Cyrl-CS"/>
        </w:rPr>
        <w:t>новчани износ</w:t>
      </w:r>
      <w:r>
        <w:rPr>
          <w:rFonts w:ascii="Times New Roman" w:hAnsi="Times New Roman"/>
          <w:lang w:val="sr-Cyrl-CS"/>
        </w:rPr>
        <w:t xml:space="preserve"> за учешће у висини од </w:t>
      </w:r>
      <w:r w:rsidR="00FA3A65">
        <w:rPr>
          <w:rFonts w:ascii="Times New Roman" w:hAnsi="Times New Roman"/>
          <w:lang w:val="sr-Cyrl-RS"/>
        </w:rPr>
        <w:t>5</w:t>
      </w:r>
      <w:r>
        <w:rPr>
          <w:rFonts w:ascii="Times New Roman" w:hAnsi="Times New Roman"/>
          <w:lang w:val="sr-Latn-CS"/>
        </w:rPr>
        <w:t>0.000,00</w:t>
      </w:r>
      <w:r>
        <w:rPr>
          <w:rFonts w:ascii="Times New Roman" w:hAnsi="Times New Roman"/>
          <w:lang w:val="sr-Cyrl-CS"/>
        </w:rPr>
        <w:t xml:space="preserve"> динара  на текући рачун стечајног дужника </w:t>
      </w:r>
      <w:r w:rsidRPr="00276032">
        <w:rPr>
          <w:rFonts w:ascii="Times New Roman" w:hAnsi="Times New Roman"/>
          <w:lang w:val="sr-Cyrl-CS"/>
        </w:rPr>
        <w:t xml:space="preserve">бр. </w:t>
      </w:r>
      <w:r w:rsidR="00276032" w:rsidRPr="00276032">
        <w:rPr>
          <w:rFonts w:ascii="Times New Roman" w:hAnsi="Times New Roman"/>
          <w:b/>
          <w:lang w:val="sr-Cyrl-CS"/>
        </w:rPr>
        <w:t xml:space="preserve">150-0000025013905-48 </w:t>
      </w:r>
      <w:r w:rsidR="00276032" w:rsidRPr="00276032">
        <w:rPr>
          <w:rFonts w:ascii="Times New Roman" w:hAnsi="Times New Roman"/>
        </w:rPr>
        <w:t xml:space="preserve">код </w:t>
      </w:r>
      <w:r w:rsidR="00276032" w:rsidRPr="00276032">
        <w:rPr>
          <w:rFonts w:ascii="Times New Roman" w:hAnsi="Times New Roman"/>
          <w:lang w:val="sr-Cyrl-CS"/>
        </w:rPr>
        <w:t>„ЕУРОБАНК Директна“ а.д. Београд</w:t>
      </w:r>
      <w:r w:rsidRPr="00276032">
        <w:rPr>
          <w:rFonts w:ascii="Times New Roman" w:hAnsi="Times New Roman"/>
          <w:lang w:val="sr-Cyrl-CS"/>
        </w:rPr>
        <w:t xml:space="preserve">, најкасније до </w:t>
      </w:r>
      <w:r w:rsidR="00FB6B44" w:rsidRPr="00276032">
        <w:rPr>
          <w:rFonts w:ascii="Times New Roman" w:hAnsi="Times New Roman"/>
          <w:lang w:val="sr-Cyrl-CS"/>
        </w:rPr>
        <w:t>21</w:t>
      </w:r>
      <w:r w:rsidRPr="00276032">
        <w:rPr>
          <w:rFonts w:ascii="Times New Roman" w:hAnsi="Times New Roman"/>
          <w:lang w:val="sr-Cyrl-CS"/>
        </w:rPr>
        <w:t xml:space="preserve">. </w:t>
      </w:r>
      <w:r w:rsidR="00276032" w:rsidRPr="00276032">
        <w:rPr>
          <w:rFonts w:ascii="Times New Roman" w:hAnsi="Times New Roman"/>
          <w:lang w:val="sr-Cyrl-RS"/>
        </w:rPr>
        <w:t>марта</w:t>
      </w:r>
      <w:r w:rsidRPr="00276032">
        <w:rPr>
          <w:rFonts w:ascii="Times New Roman" w:hAnsi="Times New Roman"/>
          <w:lang w:val="sr-Cyrl-CS"/>
        </w:rPr>
        <w:t xml:space="preserve"> </w:t>
      </w:r>
      <w:r w:rsidRPr="00276032">
        <w:rPr>
          <w:rFonts w:ascii="Times New Roman" w:hAnsi="Times New Roman"/>
          <w:lang w:val="sr-Cyrl-RS"/>
        </w:rPr>
        <w:t>20</w:t>
      </w:r>
      <w:r w:rsidR="00FA3A65" w:rsidRPr="00276032">
        <w:rPr>
          <w:rFonts w:ascii="Times New Roman" w:hAnsi="Times New Roman"/>
          <w:lang w:val="sr-Cyrl-RS"/>
        </w:rPr>
        <w:t>2</w:t>
      </w:r>
      <w:r w:rsidR="00276032" w:rsidRPr="00276032">
        <w:rPr>
          <w:rFonts w:ascii="Times New Roman" w:hAnsi="Times New Roman"/>
          <w:lang w:val="sr-Latn-RS"/>
        </w:rPr>
        <w:t>5</w:t>
      </w:r>
      <w:r w:rsidRPr="00276032">
        <w:rPr>
          <w:rFonts w:ascii="Times New Roman" w:hAnsi="Times New Roman"/>
          <w:lang w:val="sr-Cyrl-RS"/>
        </w:rPr>
        <w:t xml:space="preserve">. </w:t>
      </w:r>
      <w:r w:rsidRPr="00276032">
        <w:rPr>
          <w:rFonts w:ascii="Times New Roman" w:hAnsi="Times New Roman"/>
          <w:lang w:val="sr-Cyrl-CS"/>
        </w:rPr>
        <w:t>године</w:t>
      </w:r>
      <w:r w:rsidRPr="00276032">
        <w:rPr>
          <w:rFonts w:ascii="Times New Roman" w:hAnsi="Times New Roman"/>
          <w:lang w:val="sr-Latn-RS"/>
        </w:rPr>
        <w:t>.</w:t>
      </w:r>
      <w:r>
        <w:rPr>
          <w:rFonts w:ascii="Times New Roman" w:hAnsi="Times New Roman"/>
          <w:lang w:val="sr-Latn-RS"/>
        </w:rPr>
        <w:t xml:space="preserve"> </w:t>
      </w:r>
      <w:r>
        <w:rPr>
          <w:rFonts w:ascii="Times New Roman" w:hAnsi="Times New Roman"/>
          <w:lang w:val="sr-Cyrl-RS"/>
        </w:rPr>
        <w:t xml:space="preserve">Понуђачима са којима се не закључи уговор, </w:t>
      </w:r>
      <w:r w:rsidR="00F64791">
        <w:rPr>
          <w:rFonts w:ascii="Times New Roman" w:hAnsi="Times New Roman"/>
          <w:lang w:val="sr-Cyrl-RS"/>
        </w:rPr>
        <w:t>новчани износ</w:t>
      </w:r>
      <w:r>
        <w:rPr>
          <w:rFonts w:ascii="Times New Roman" w:hAnsi="Times New Roman"/>
          <w:lang w:val="sr-Cyrl-RS"/>
        </w:rPr>
        <w:t xml:space="preserve"> ће бити враћен у року од 8 (осам) дана од дана отварања понуда</w:t>
      </w:r>
      <w:r>
        <w:rPr>
          <w:rFonts w:ascii="Times New Roman" w:hAnsi="Times New Roman"/>
          <w:lang w:val="sr-Cyrl-CS"/>
        </w:rPr>
        <w:t>;</w:t>
      </w:r>
    </w:p>
    <w:p w14:paraId="23457A74" w14:textId="6EFDBE59" w:rsidR="00D348F7" w:rsidRDefault="00B47619" w:rsidP="00FA3A65">
      <w:pPr>
        <w:pStyle w:val="ListParagraph"/>
        <w:numPr>
          <w:ilvl w:val="0"/>
          <w:numId w:val="1"/>
        </w:numPr>
        <w:spacing w:after="0" w:line="240" w:lineRule="auto"/>
        <w:ind w:left="0"/>
        <w:jc w:val="both"/>
        <w:rPr>
          <w:rFonts w:ascii="Times New Roman" w:hAnsi="Times New Roman"/>
          <w:lang w:val="sr-Cyrl-CS"/>
        </w:rPr>
      </w:pPr>
      <w:r>
        <w:rPr>
          <w:rFonts w:ascii="Times New Roman" w:hAnsi="Times New Roman"/>
          <w:lang w:val="sr-Cyrl-CS"/>
        </w:rPr>
        <w:t xml:space="preserve">потпишу изјаву о губитку права на повраћај </w:t>
      </w:r>
      <w:r w:rsidR="008944E8">
        <w:rPr>
          <w:rFonts w:ascii="Times New Roman" w:hAnsi="Times New Roman"/>
          <w:lang w:val="sr-Cyrl-CS"/>
        </w:rPr>
        <w:t>новчаног износа</w:t>
      </w:r>
      <w:r>
        <w:rPr>
          <w:rFonts w:ascii="Times New Roman" w:hAnsi="Times New Roman"/>
          <w:lang w:val="sr-Cyrl-CS"/>
        </w:rPr>
        <w:t xml:space="preserve"> за учешће. Изјава чини саставни део конкурсне документације.</w:t>
      </w:r>
    </w:p>
    <w:p w14:paraId="3B777EB2" w14:textId="77777777" w:rsidR="00D348F7" w:rsidRDefault="00D348F7" w:rsidP="00FA3A65">
      <w:pPr>
        <w:pStyle w:val="ListParagraph"/>
        <w:spacing w:after="0" w:line="240" w:lineRule="auto"/>
        <w:ind w:left="0"/>
        <w:jc w:val="both"/>
        <w:rPr>
          <w:rFonts w:ascii="Times New Roman" w:hAnsi="Times New Roman"/>
          <w:lang w:val="sr-Cyrl-CS"/>
        </w:rPr>
      </w:pPr>
    </w:p>
    <w:p w14:paraId="7244423C" w14:textId="14772010"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 xml:space="preserve">Објекти се могу разгледати након откупа конкурсне документације сваког радног дана од 10.00 до 13.00 часова до </w:t>
      </w:r>
      <w:r w:rsidR="00FB6B44">
        <w:rPr>
          <w:rFonts w:ascii="Times New Roman" w:hAnsi="Times New Roman"/>
          <w:lang w:val="sr-Cyrl-CS"/>
        </w:rPr>
        <w:t>21</w:t>
      </w:r>
      <w:r>
        <w:rPr>
          <w:rFonts w:ascii="Times New Roman" w:hAnsi="Times New Roman"/>
          <w:lang w:val="sr-Cyrl-CS"/>
        </w:rPr>
        <w:t xml:space="preserve">. </w:t>
      </w:r>
      <w:r w:rsidR="00276032">
        <w:rPr>
          <w:rFonts w:ascii="Times New Roman" w:hAnsi="Times New Roman"/>
          <w:lang w:val="sr-Cyrl-CS"/>
        </w:rPr>
        <w:t>марта</w:t>
      </w:r>
      <w:r>
        <w:rPr>
          <w:rFonts w:ascii="Times New Roman" w:hAnsi="Times New Roman"/>
          <w:lang w:val="sr-Cyrl-CS"/>
        </w:rPr>
        <w:t xml:space="preserve"> 20</w:t>
      </w:r>
      <w:r w:rsidR="00FA3A65">
        <w:rPr>
          <w:rFonts w:ascii="Times New Roman" w:hAnsi="Times New Roman"/>
          <w:lang w:val="sr-Cyrl-CS"/>
        </w:rPr>
        <w:t>2</w:t>
      </w:r>
      <w:r w:rsidR="00276032">
        <w:rPr>
          <w:rFonts w:ascii="Times New Roman" w:hAnsi="Times New Roman"/>
          <w:lang w:val="sr-Cyrl-CS"/>
        </w:rPr>
        <w:t>5</w:t>
      </w:r>
      <w:r>
        <w:rPr>
          <w:rFonts w:ascii="Times New Roman" w:hAnsi="Times New Roman"/>
          <w:lang w:val="sr-Cyrl-CS"/>
        </w:rPr>
        <w:t>. уз претходну најаву поверенику стечајног управника.</w:t>
      </w:r>
    </w:p>
    <w:p w14:paraId="113E5FE3" w14:textId="77777777" w:rsidR="00276032" w:rsidRDefault="00276032" w:rsidP="00FA3A65">
      <w:pPr>
        <w:spacing w:after="0" w:line="240" w:lineRule="auto"/>
        <w:jc w:val="both"/>
        <w:rPr>
          <w:rFonts w:ascii="Times New Roman" w:hAnsi="Times New Roman"/>
          <w:color w:val="FF0000"/>
          <w:lang w:val="sr-Cyrl-CS"/>
        </w:rPr>
      </w:pPr>
    </w:p>
    <w:p w14:paraId="3FADF441" w14:textId="77777777"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Објекти се изадају у виђеном стању на одређено време, до стицања услова за продају.</w:t>
      </w:r>
    </w:p>
    <w:p w14:paraId="0F803037" w14:textId="77777777" w:rsidR="00D348F7" w:rsidRDefault="00D348F7" w:rsidP="00FA3A65">
      <w:pPr>
        <w:spacing w:after="0" w:line="240" w:lineRule="auto"/>
        <w:jc w:val="both"/>
        <w:rPr>
          <w:rFonts w:ascii="Times New Roman" w:hAnsi="Times New Roman"/>
          <w:lang w:val="sr-Cyrl-CS"/>
        </w:rPr>
      </w:pPr>
    </w:p>
    <w:p w14:paraId="43C67636" w14:textId="63B9AFB8"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Уговором ће бити регулисано да закупац плаћа трошкове текућег одржавања преузете имовине, утрошак електричне енергије, воде, телефона, односно свих комуналних услуга, трошкове физичког обезбеђења имовине,</w:t>
      </w:r>
      <w:r w:rsidR="00FB6B44">
        <w:rPr>
          <w:rFonts w:ascii="Times New Roman" w:hAnsi="Times New Roman"/>
          <w:lang w:val="sr-Cyrl-CS"/>
        </w:rPr>
        <w:t xml:space="preserve"> </w:t>
      </w:r>
      <w:r>
        <w:rPr>
          <w:rFonts w:ascii="Times New Roman" w:hAnsi="Times New Roman"/>
          <w:lang w:val="sr-Cyrl-CS"/>
        </w:rPr>
        <w:t xml:space="preserve">трошкове обезбеђења противпожарне заштите и осигурања имовине, трошкове пореза на имовину и друге пореске обавезе по решењима надлежних пореских органа. </w:t>
      </w:r>
    </w:p>
    <w:p w14:paraId="2FB1D35B" w14:textId="77777777" w:rsidR="00D348F7" w:rsidRDefault="00D348F7" w:rsidP="00FA3A65">
      <w:pPr>
        <w:spacing w:after="0" w:line="240" w:lineRule="auto"/>
        <w:jc w:val="both"/>
        <w:rPr>
          <w:rFonts w:ascii="Times New Roman" w:hAnsi="Times New Roman"/>
          <w:lang w:val="sr-Cyrl-CS"/>
        </w:rPr>
      </w:pPr>
    </w:p>
    <w:p w14:paraId="54060673" w14:textId="0117E0FB"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Закупац при коришћењу објекта мора да поштује и да се придржава свих прописа и норматива везано за делатност којом се бави. Закупац је одговоран за евентуалну штету која н</w:t>
      </w:r>
      <w:r w:rsidR="00EF592A">
        <w:rPr>
          <w:rFonts w:ascii="Times New Roman" w:hAnsi="Times New Roman"/>
          <w:lang w:val="sr-Cyrl-CS"/>
        </w:rPr>
        <w:t>а</w:t>
      </w:r>
      <w:r>
        <w:rPr>
          <w:rFonts w:ascii="Times New Roman" w:hAnsi="Times New Roman"/>
          <w:lang w:val="sr-Cyrl-CS"/>
        </w:rPr>
        <w:t xml:space="preserve">стане на објекту </w:t>
      </w:r>
      <w:r>
        <w:rPr>
          <w:rFonts w:ascii="Times New Roman" w:hAnsi="Times New Roman"/>
          <w:lang w:val="sr-Cyrl-CS"/>
        </w:rPr>
        <w:lastRenderedPageBreak/>
        <w:t xml:space="preserve">као последица обављања делатности од стране закупца. Улагања у објекат не могу се вршити без сагласности стечајног управника. </w:t>
      </w:r>
    </w:p>
    <w:p w14:paraId="0632530E" w14:textId="77777777" w:rsidR="00D348F7" w:rsidRDefault="00D348F7" w:rsidP="00FA3A65">
      <w:pPr>
        <w:spacing w:after="0" w:line="240" w:lineRule="auto"/>
        <w:jc w:val="both"/>
        <w:rPr>
          <w:rFonts w:ascii="Times New Roman" w:hAnsi="Times New Roman"/>
          <w:lang w:val="sr-Cyrl-CS"/>
        </w:rPr>
      </w:pPr>
    </w:p>
    <w:p w14:paraId="53A8FB6E" w14:textId="77777777"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Закупац је у обавези да уплати на рачун закуподавца тромесечну накнаду на име закупа ради обезбеђења плаћања уговореног износа</w:t>
      </w:r>
      <w:r>
        <w:rPr>
          <w:rFonts w:ascii="Times New Roman" w:hAnsi="Times New Roman"/>
          <w:lang w:val="sr-Latn-RS"/>
        </w:rPr>
        <w:t>.</w:t>
      </w:r>
      <w:r>
        <w:rPr>
          <w:rFonts w:ascii="Times New Roman" w:hAnsi="Times New Roman"/>
          <w:lang w:val="sr-Cyrl-CS"/>
        </w:rPr>
        <w:t xml:space="preserve"> Овај полог биће враћен по престанку важења уговора и потписивању записника о примопредаји, под условом да је, на дан престанка уговора о закупу, исплатио уговорену месечну накнаду и све уговорене префактурисане трошкове до тада настале.</w:t>
      </w:r>
    </w:p>
    <w:p w14:paraId="14C27F68" w14:textId="77777777" w:rsidR="00D348F7" w:rsidRDefault="00D348F7" w:rsidP="00FA3A65">
      <w:pPr>
        <w:spacing w:after="0" w:line="240" w:lineRule="auto"/>
        <w:jc w:val="both"/>
        <w:rPr>
          <w:rFonts w:ascii="Times New Roman" w:hAnsi="Times New Roman"/>
          <w:lang w:val="sr-Cyrl-CS"/>
        </w:rPr>
      </w:pPr>
    </w:p>
    <w:p w14:paraId="049E8776" w14:textId="77777777"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Запечаћена коверта треба да садржи:</w:t>
      </w:r>
    </w:p>
    <w:p w14:paraId="50BF62B4" w14:textId="77777777" w:rsidR="00D348F7" w:rsidRDefault="00B47619" w:rsidP="00FA3A65">
      <w:pPr>
        <w:pStyle w:val="ListParagraph"/>
        <w:numPr>
          <w:ilvl w:val="0"/>
          <w:numId w:val="2"/>
        </w:numPr>
        <w:spacing w:after="0" w:line="240" w:lineRule="auto"/>
        <w:ind w:left="0"/>
        <w:jc w:val="both"/>
        <w:rPr>
          <w:rFonts w:ascii="Times New Roman" w:hAnsi="Times New Roman"/>
          <w:lang w:val="sr-Cyrl-CS"/>
        </w:rPr>
      </w:pPr>
      <w:r>
        <w:rPr>
          <w:rFonts w:ascii="Times New Roman" w:hAnsi="Times New Roman"/>
          <w:lang w:val="sr-Cyrl-CS"/>
        </w:rPr>
        <w:t>пријаву за учешће у поступку;</w:t>
      </w:r>
    </w:p>
    <w:p w14:paraId="593A6D01" w14:textId="659716E9" w:rsidR="00D348F7" w:rsidRDefault="00B47619" w:rsidP="00FA3A65">
      <w:pPr>
        <w:pStyle w:val="ListParagraph"/>
        <w:numPr>
          <w:ilvl w:val="0"/>
          <w:numId w:val="2"/>
        </w:numPr>
        <w:spacing w:after="0" w:line="240" w:lineRule="auto"/>
        <w:ind w:left="0"/>
        <w:jc w:val="both"/>
        <w:rPr>
          <w:rFonts w:ascii="Times New Roman" w:hAnsi="Times New Roman"/>
          <w:lang w:val="sr-Cyrl-CS"/>
        </w:rPr>
      </w:pPr>
      <w:r>
        <w:rPr>
          <w:rFonts w:ascii="Times New Roman" w:hAnsi="Times New Roman"/>
          <w:lang w:val="sr-Cyrl-CS"/>
        </w:rPr>
        <w:t>понуду на име закупнине уз јасно навођење објекта на који се понуда односи. Понуда мора бити исказана на месечном нивоу, у динарском износу без пореза и која мора да буде јасна, недвосмислена, читко исписана и оверена печатом и потписом овлашћеног лица (уколико понуду доставља правно лице). Стечајни управник неће разматрати понуде ако се у понуди тачно не одреди објекат, ако понуда не садржи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конкурсној документацији и огласу, као и понуде уз које није уплаћен депозит у предвиђеном року и предвиђен начин;</w:t>
      </w:r>
    </w:p>
    <w:p w14:paraId="3174A27F" w14:textId="50FBBBDE" w:rsidR="00D348F7" w:rsidRDefault="00B47619" w:rsidP="00FA3A65">
      <w:pPr>
        <w:pStyle w:val="ListParagraph"/>
        <w:numPr>
          <w:ilvl w:val="0"/>
          <w:numId w:val="2"/>
        </w:numPr>
        <w:spacing w:after="0" w:line="240" w:lineRule="auto"/>
        <w:ind w:left="0"/>
        <w:jc w:val="both"/>
        <w:rPr>
          <w:rFonts w:ascii="Times New Roman" w:hAnsi="Times New Roman"/>
          <w:lang w:val="sr-Cyrl-CS"/>
        </w:rPr>
      </w:pPr>
      <w:r>
        <w:rPr>
          <w:rFonts w:ascii="Times New Roman" w:hAnsi="Times New Roman"/>
          <w:lang w:val="sr-Cyrl-CS"/>
        </w:rPr>
        <w:t xml:space="preserve">доказ о уплати </w:t>
      </w:r>
      <w:r w:rsidR="00533565">
        <w:rPr>
          <w:rFonts w:ascii="Times New Roman" w:hAnsi="Times New Roman"/>
          <w:lang w:val="sr-Cyrl-CS"/>
        </w:rPr>
        <w:t>новчаног износа</w:t>
      </w:r>
      <w:r>
        <w:rPr>
          <w:rFonts w:ascii="Times New Roman" w:hAnsi="Times New Roman"/>
          <w:lang w:val="sr-Cyrl-CS"/>
        </w:rPr>
        <w:t xml:space="preserve"> за учешће;</w:t>
      </w:r>
    </w:p>
    <w:p w14:paraId="628AA186" w14:textId="04253B0A" w:rsidR="00D348F7" w:rsidRDefault="00B47619" w:rsidP="00FA3A65">
      <w:pPr>
        <w:pStyle w:val="ListParagraph"/>
        <w:numPr>
          <w:ilvl w:val="0"/>
          <w:numId w:val="2"/>
        </w:numPr>
        <w:spacing w:after="0" w:line="240" w:lineRule="auto"/>
        <w:ind w:left="0"/>
        <w:jc w:val="both"/>
        <w:rPr>
          <w:rFonts w:ascii="Times New Roman" w:hAnsi="Times New Roman"/>
          <w:lang w:val="sr-Cyrl-CS"/>
        </w:rPr>
      </w:pPr>
      <w:r>
        <w:rPr>
          <w:rFonts w:ascii="Times New Roman" w:hAnsi="Times New Roman"/>
          <w:lang w:val="sr-Cyrl-CS"/>
        </w:rPr>
        <w:t xml:space="preserve">потписану изјаву о губитку права на повраћај </w:t>
      </w:r>
      <w:r w:rsidR="00D14449">
        <w:rPr>
          <w:rFonts w:ascii="Times New Roman" w:hAnsi="Times New Roman"/>
          <w:lang w:val="sr-Cyrl-CS"/>
        </w:rPr>
        <w:t>новчаног износа</w:t>
      </w:r>
      <w:r>
        <w:rPr>
          <w:rFonts w:ascii="Times New Roman" w:hAnsi="Times New Roman"/>
          <w:lang w:val="sr-Cyrl-CS"/>
        </w:rPr>
        <w:t xml:space="preserve"> за учешће.</w:t>
      </w:r>
    </w:p>
    <w:p w14:paraId="7B638524" w14:textId="77777777" w:rsidR="00D348F7" w:rsidRDefault="00D348F7" w:rsidP="00FA3A65">
      <w:pPr>
        <w:spacing w:after="0" w:line="240" w:lineRule="auto"/>
        <w:jc w:val="both"/>
        <w:rPr>
          <w:rFonts w:ascii="Times New Roman" w:hAnsi="Times New Roman"/>
          <w:b/>
          <w:lang w:val="sr-Cyrl-CS"/>
        </w:rPr>
      </w:pPr>
    </w:p>
    <w:p w14:paraId="33F7B2C3" w14:textId="3D3F6611"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 xml:space="preserve">Писане понуде се достављају у затвореној коверти искључиво личном доставом на адресу: Агенција за лиценцирање стечајних управника </w:t>
      </w:r>
      <w:r w:rsidR="00FA3A65">
        <w:rPr>
          <w:rFonts w:ascii="Times New Roman" w:hAnsi="Times New Roman"/>
          <w:lang w:val="sr-Cyrl-CS"/>
        </w:rPr>
        <w:t>–</w:t>
      </w:r>
      <w:r>
        <w:rPr>
          <w:rFonts w:ascii="Times New Roman" w:hAnsi="Times New Roman"/>
          <w:lang w:val="sr-Cyrl-CS"/>
        </w:rPr>
        <w:t xml:space="preserve"> </w:t>
      </w:r>
      <w:r w:rsidR="00FA3A65">
        <w:rPr>
          <w:rFonts w:ascii="Times New Roman" w:hAnsi="Times New Roman"/>
          <w:lang w:val="sr-Cyrl-CS"/>
        </w:rPr>
        <w:t>Подручна јединица за стечај у Новом Саду</w:t>
      </w:r>
      <w:r>
        <w:rPr>
          <w:rFonts w:ascii="Times New Roman" w:hAnsi="Times New Roman"/>
          <w:lang w:val="sr-Cyrl-CS"/>
        </w:rPr>
        <w:t xml:space="preserve">, Булевар Михајла Пупина 10, Нови Сад, V спрат, са напоменом „ПОНУДА </w:t>
      </w:r>
      <w:r>
        <w:rPr>
          <w:rFonts w:ascii="Times New Roman" w:hAnsi="Times New Roman"/>
          <w:lang w:val="sr-Cyrl-RS"/>
        </w:rPr>
        <w:t xml:space="preserve">ЗА УГОВОР О ЗАКУПУ ЗА ОБЈЕКАТ </w:t>
      </w:r>
      <w:r w:rsidR="00276032">
        <w:rPr>
          <w:rFonts w:ascii="Times New Roman" w:hAnsi="Times New Roman"/>
          <w:lang w:val="sr-Cyrl-RS"/>
        </w:rPr>
        <w:t>У АЛЕКСИНЦУ</w:t>
      </w:r>
      <w:r>
        <w:rPr>
          <w:rFonts w:ascii="Times New Roman" w:hAnsi="Times New Roman"/>
          <w:lang w:val="sr-Cyrl-RS"/>
        </w:rPr>
        <w:t xml:space="preserve"> </w:t>
      </w:r>
      <w:r>
        <w:rPr>
          <w:rFonts w:ascii="Times New Roman" w:hAnsi="Times New Roman"/>
          <w:lang w:val="sr-Cyrl-CS"/>
        </w:rPr>
        <w:t xml:space="preserve">– НЕ ОТВАРАТИ“. </w:t>
      </w:r>
    </w:p>
    <w:p w14:paraId="40919FE8" w14:textId="77777777" w:rsidR="00D348F7" w:rsidRDefault="00D348F7" w:rsidP="00FA3A65">
      <w:pPr>
        <w:spacing w:after="0" w:line="240" w:lineRule="auto"/>
        <w:jc w:val="both"/>
        <w:rPr>
          <w:rFonts w:ascii="Times New Roman" w:hAnsi="Times New Roman"/>
          <w:lang w:val="sr-Cyrl-CS"/>
        </w:rPr>
      </w:pPr>
    </w:p>
    <w:p w14:paraId="2DB0628C" w14:textId="4F0FAE70" w:rsidR="00D348F7" w:rsidRDefault="00B47619" w:rsidP="00FA3A65">
      <w:pPr>
        <w:spacing w:after="0" w:line="240" w:lineRule="auto"/>
        <w:jc w:val="both"/>
        <w:rPr>
          <w:rFonts w:ascii="Times New Roman" w:hAnsi="Times New Roman"/>
          <w:b/>
          <w:lang w:val="sr-Cyrl-CS"/>
        </w:rPr>
      </w:pPr>
      <w:r>
        <w:rPr>
          <w:rFonts w:ascii="Times New Roman" w:hAnsi="Times New Roman"/>
          <w:b/>
          <w:lang w:val="sr-Cyrl-CS"/>
        </w:rPr>
        <w:t xml:space="preserve">Крајњи рок за достављање понуда је </w:t>
      </w:r>
      <w:r w:rsidR="00FB6B44">
        <w:rPr>
          <w:rFonts w:ascii="Times New Roman" w:hAnsi="Times New Roman"/>
          <w:b/>
          <w:lang w:val="sr-Cyrl-CS"/>
        </w:rPr>
        <w:t>2</w:t>
      </w:r>
      <w:r w:rsidR="00276032">
        <w:rPr>
          <w:rFonts w:ascii="Times New Roman" w:hAnsi="Times New Roman"/>
          <w:b/>
          <w:lang w:val="sr-Cyrl-CS"/>
        </w:rPr>
        <w:t>6</w:t>
      </w:r>
      <w:r>
        <w:rPr>
          <w:rFonts w:ascii="Times New Roman" w:hAnsi="Times New Roman"/>
          <w:b/>
          <w:lang w:val="sr-Cyrl-CS"/>
        </w:rPr>
        <w:t xml:space="preserve">. </w:t>
      </w:r>
      <w:r w:rsidR="00276032">
        <w:rPr>
          <w:rFonts w:ascii="Times New Roman" w:hAnsi="Times New Roman"/>
          <w:b/>
          <w:lang w:val="sr-Cyrl-CS"/>
        </w:rPr>
        <w:t>МАРТ</w:t>
      </w:r>
      <w:r>
        <w:rPr>
          <w:rFonts w:ascii="Times New Roman" w:hAnsi="Times New Roman"/>
          <w:b/>
          <w:lang w:val="sr-Cyrl-CS"/>
        </w:rPr>
        <w:t xml:space="preserve"> 20</w:t>
      </w:r>
      <w:r w:rsidR="00FA3A65">
        <w:rPr>
          <w:rFonts w:ascii="Times New Roman" w:hAnsi="Times New Roman"/>
          <w:b/>
          <w:lang w:val="sr-Cyrl-CS"/>
        </w:rPr>
        <w:t>2</w:t>
      </w:r>
      <w:r w:rsidR="00276032">
        <w:rPr>
          <w:rFonts w:ascii="Times New Roman" w:hAnsi="Times New Roman"/>
          <w:b/>
          <w:lang w:val="sr-Cyrl-CS"/>
        </w:rPr>
        <w:t>5</w:t>
      </w:r>
      <w:r>
        <w:rPr>
          <w:rFonts w:ascii="Times New Roman" w:hAnsi="Times New Roman"/>
          <w:b/>
          <w:lang w:val="sr-Cyrl-CS"/>
        </w:rPr>
        <w:t>. године до</w:t>
      </w:r>
      <w:r>
        <w:rPr>
          <w:rFonts w:ascii="Times New Roman" w:hAnsi="Times New Roman"/>
          <w:b/>
          <w:lang w:val="sr-Latn-RS"/>
        </w:rPr>
        <w:t xml:space="preserve"> 11</w:t>
      </w:r>
      <w:r>
        <w:rPr>
          <w:rFonts w:ascii="Times New Roman" w:hAnsi="Times New Roman"/>
          <w:b/>
          <w:lang w:val="sr-Cyrl-CS"/>
        </w:rPr>
        <w:t>:</w:t>
      </w:r>
      <w:r>
        <w:rPr>
          <w:rFonts w:ascii="Times New Roman" w:hAnsi="Times New Roman"/>
          <w:b/>
          <w:lang w:val="sr-Latn-RS"/>
        </w:rPr>
        <w:t xml:space="preserve">45 </w:t>
      </w:r>
      <w:r>
        <w:rPr>
          <w:rFonts w:ascii="Times New Roman" w:hAnsi="Times New Roman"/>
          <w:b/>
          <w:lang w:val="sr-Cyrl-CS"/>
        </w:rPr>
        <w:t xml:space="preserve">часова. </w:t>
      </w:r>
    </w:p>
    <w:p w14:paraId="62C15179" w14:textId="77777777" w:rsidR="00D348F7" w:rsidRDefault="00D348F7" w:rsidP="00FA3A65">
      <w:pPr>
        <w:spacing w:after="0" w:line="240" w:lineRule="auto"/>
        <w:jc w:val="both"/>
        <w:rPr>
          <w:rFonts w:ascii="Times New Roman" w:hAnsi="Times New Roman"/>
          <w:b/>
          <w:lang w:val="sr-Cyrl-CS"/>
        </w:rPr>
      </w:pPr>
    </w:p>
    <w:p w14:paraId="2D5F8D23" w14:textId="58D2323A" w:rsidR="00D348F7" w:rsidRDefault="00B47619" w:rsidP="00FA3A65">
      <w:pPr>
        <w:spacing w:after="0" w:line="240" w:lineRule="auto"/>
        <w:jc w:val="both"/>
        <w:rPr>
          <w:rFonts w:ascii="Times New Roman" w:hAnsi="Times New Roman"/>
          <w:lang w:val="sr-Cyrl-BA"/>
        </w:rPr>
      </w:pPr>
      <w:r>
        <w:rPr>
          <w:rFonts w:ascii="Times New Roman" w:hAnsi="Times New Roman"/>
          <w:b/>
          <w:lang w:val="sr-Cyrl-CS"/>
        </w:rPr>
        <w:t xml:space="preserve">Јавно отварање понуда одржаће се дана </w:t>
      </w:r>
      <w:r w:rsidR="00FB6B44">
        <w:rPr>
          <w:rFonts w:ascii="Times New Roman" w:hAnsi="Times New Roman"/>
          <w:b/>
          <w:lang w:val="sr-Cyrl-CS"/>
        </w:rPr>
        <w:t>2</w:t>
      </w:r>
      <w:r w:rsidR="002E1FF3">
        <w:rPr>
          <w:rFonts w:ascii="Times New Roman" w:hAnsi="Times New Roman"/>
          <w:b/>
          <w:lang w:val="sr-Cyrl-CS"/>
        </w:rPr>
        <w:t>6</w:t>
      </w:r>
      <w:r>
        <w:rPr>
          <w:rFonts w:ascii="Times New Roman" w:hAnsi="Times New Roman"/>
          <w:b/>
          <w:lang w:val="sr-Cyrl-CS"/>
        </w:rPr>
        <w:t xml:space="preserve">. </w:t>
      </w:r>
      <w:r w:rsidR="002E1FF3">
        <w:rPr>
          <w:rFonts w:ascii="Times New Roman" w:hAnsi="Times New Roman"/>
          <w:b/>
          <w:lang w:val="sr-Cyrl-CS"/>
        </w:rPr>
        <w:t>МАРТА</w:t>
      </w:r>
      <w:r>
        <w:rPr>
          <w:rFonts w:ascii="Times New Roman" w:hAnsi="Times New Roman"/>
          <w:b/>
          <w:lang w:val="sr-Cyrl-CS"/>
        </w:rPr>
        <w:t xml:space="preserve"> </w:t>
      </w:r>
      <w:r>
        <w:rPr>
          <w:rFonts w:ascii="Times New Roman" w:hAnsi="Times New Roman"/>
          <w:b/>
          <w:lang w:val="sr-Latn-CS"/>
        </w:rPr>
        <w:t>20</w:t>
      </w:r>
      <w:r w:rsidR="00FA3A65">
        <w:rPr>
          <w:rFonts w:ascii="Times New Roman" w:hAnsi="Times New Roman"/>
          <w:b/>
          <w:lang w:val="sr-Cyrl-RS"/>
        </w:rPr>
        <w:t>2</w:t>
      </w:r>
      <w:r w:rsidR="002E1FF3">
        <w:rPr>
          <w:rFonts w:ascii="Times New Roman" w:hAnsi="Times New Roman"/>
          <w:b/>
          <w:lang w:val="sr-Cyrl-RS"/>
        </w:rPr>
        <w:t>5</w:t>
      </w:r>
      <w:r>
        <w:rPr>
          <w:rFonts w:ascii="Times New Roman" w:hAnsi="Times New Roman"/>
          <w:b/>
          <w:lang w:val="ru-RU"/>
        </w:rPr>
        <w:t xml:space="preserve">. </w:t>
      </w:r>
      <w:r>
        <w:rPr>
          <w:rFonts w:ascii="Times New Roman" w:hAnsi="Times New Roman"/>
          <w:b/>
          <w:lang w:val="sr-Cyrl-CS"/>
        </w:rPr>
        <w:t xml:space="preserve">године у </w:t>
      </w:r>
      <w:r>
        <w:rPr>
          <w:rFonts w:ascii="Times New Roman" w:hAnsi="Times New Roman"/>
          <w:b/>
          <w:lang w:val="sr-Latn-RS"/>
        </w:rPr>
        <w:t>12:00</w:t>
      </w:r>
      <w:r>
        <w:rPr>
          <w:rFonts w:ascii="Times New Roman" w:hAnsi="Times New Roman"/>
          <w:b/>
          <w:lang w:val="sr-Cyrl-CS"/>
        </w:rPr>
        <w:t xml:space="preserve"> часова</w:t>
      </w:r>
      <w:r>
        <w:rPr>
          <w:rFonts w:ascii="Times New Roman" w:hAnsi="Times New Roman"/>
          <w:lang w:val="sr-Cyrl-CS"/>
        </w:rPr>
        <w:t xml:space="preserve"> (15 минута по истеку времена за прикупљање понуда) на адреси: </w:t>
      </w:r>
      <w:r>
        <w:rPr>
          <w:rFonts w:ascii="Times New Roman" w:hAnsi="Times New Roman"/>
          <w:lang w:val="ru-RU"/>
        </w:rPr>
        <w:t xml:space="preserve">Агенција </w:t>
      </w:r>
      <w:r>
        <w:rPr>
          <w:rFonts w:ascii="Times New Roman" w:hAnsi="Times New Roman"/>
          <w:lang w:val="sr-Cyrl-CS"/>
        </w:rPr>
        <w:t>за лиценцирање стечајних управника - Центар за стечај</w:t>
      </w:r>
      <w:r>
        <w:rPr>
          <w:rFonts w:ascii="Times New Roman" w:hAnsi="Times New Roman"/>
          <w:lang w:val="ru-RU"/>
        </w:rPr>
        <w:t xml:space="preserve">, Булевар Михајла Пупина 10, Нови Сад, </w:t>
      </w:r>
      <w:r>
        <w:rPr>
          <w:rFonts w:ascii="Times New Roman" w:hAnsi="Times New Roman"/>
          <w:lang w:val="sr-Latn-RS"/>
        </w:rPr>
        <w:t>V</w:t>
      </w:r>
      <w:r>
        <w:rPr>
          <w:rFonts w:ascii="Times New Roman" w:hAnsi="Times New Roman"/>
          <w:lang w:val="ru-RU"/>
        </w:rPr>
        <w:t xml:space="preserve"> спрат,</w:t>
      </w:r>
      <w:r>
        <w:rPr>
          <w:rFonts w:ascii="Times New Roman" w:hAnsi="Times New Roman"/>
          <w:lang w:val="sr-Latn-RS"/>
        </w:rPr>
        <w:t xml:space="preserve"> </w:t>
      </w:r>
      <w:r>
        <w:rPr>
          <w:rFonts w:ascii="Times New Roman" w:hAnsi="Times New Roman"/>
          <w:bCs/>
          <w:lang w:val="sr-Cyrl-CS"/>
        </w:rPr>
        <w:t>у присуству комисије за отварање понуда</w:t>
      </w:r>
      <w:r>
        <w:rPr>
          <w:rFonts w:ascii="Times New Roman" w:hAnsi="Times New Roman"/>
          <w:bCs/>
          <w:lang w:val="ru-RU"/>
        </w:rPr>
        <w:t>.</w:t>
      </w:r>
    </w:p>
    <w:p w14:paraId="45B64D0F" w14:textId="77777777" w:rsidR="00D348F7" w:rsidRDefault="00D348F7" w:rsidP="00FA3A65">
      <w:pPr>
        <w:spacing w:after="0" w:line="240" w:lineRule="auto"/>
        <w:jc w:val="both"/>
        <w:rPr>
          <w:rFonts w:ascii="Times New Roman" w:hAnsi="Times New Roman"/>
          <w:b/>
          <w:lang w:val="sr-Cyrl-CS"/>
        </w:rPr>
      </w:pPr>
    </w:p>
    <w:p w14:paraId="7DB70E04" w14:textId="77777777" w:rsidR="00D348F7" w:rsidRDefault="00B47619" w:rsidP="00FA3A65">
      <w:pPr>
        <w:spacing w:after="0" w:line="240" w:lineRule="auto"/>
        <w:jc w:val="both"/>
        <w:rPr>
          <w:rFonts w:ascii="Times New Roman" w:hAnsi="Times New Roman"/>
          <w:b/>
          <w:lang w:val="sr-Cyrl-CS"/>
        </w:rPr>
      </w:pPr>
      <w:r>
        <w:rPr>
          <w:rFonts w:ascii="Times New Roman" w:hAnsi="Times New Roman"/>
          <w:lang w:val="sr-Cyrl-CS"/>
        </w:rPr>
        <w:t xml:space="preserve">На самом отварању понуда комисија ће дати могућност понуђачима да на позив председника Комисије три пута побољшају иницијалне понуде. </w:t>
      </w:r>
    </w:p>
    <w:p w14:paraId="72A199EC" w14:textId="77777777"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Неблаговремене и непотпуне понуде неће бити предмет разматрања.</w:t>
      </w:r>
    </w:p>
    <w:p w14:paraId="3C9AF748" w14:textId="77777777" w:rsidR="00D348F7" w:rsidRDefault="00D348F7" w:rsidP="00FA3A65">
      <w:pPr>
        <w:spacing w:after="0" w:line="240" w:lineRule="auto"/>
        <w:jc w:val="both"/>
        <w:rPr>
          <w:rFonts w:ascii="Times New Roman" w:hAnsi="Times New Roman"/>
          <w:lang w:val="sr-Cyrl-CS"/>
        </w:rPr>
      </w:pPr>
    </w:p>
    <w:p w14:paraId="200D6B70" w14:textId="77777777"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Стечајни управник није у обавези да прихвати ни једну од пристиглих понуда, из било ког разлога.</w:t>
      </w:r>
    </w:p>
    <w:p w14:paraId="3DDF58D7" w14:textId="77777777" w:rsidR="00D348F7" w:rsidRDefault="00D348F7" w:rsidP="00FA3A65">
      <w:pPr>
        <w:spacing w:after="0" w:line="240" w:lineRule="auto"/>
        <w:jc w:val="both"/>
        <w:rPr>
          <w:rFonts w:ascii="Times New Roman" w:hAnsi="Times New Roman"/>
          <w:b/>
          <w:lang w:val="sr-Cyrl-CS"/>
        </w:rPr>
      </w:pPr>
    </w:p>
    <w:p w14:paraId="3C600FF0" w14:textId="77777777" w:rsidR="00D348F7" w:rsidRDefault="00B47619" w:rsidP="00FA3A65">
      <w:pPr>
        <w:spacing w:after="0" w:line="240" w:lineRule="auto"/>
        <w:jc w:val="both"/>
        <w:rPr>
          <w:rFonts w:ascii="Times New Roman" w:hAnsi="Times New Roman"/>
          <w:lang w:val="sr-Cyrl-CS"/>
        </w:rPr>
      </w:pPr>
      <w:r>
        <w:rPr>
          <w:rFonts w:ascii="Times New Roman" w:hAnsi="Times New Roman"/>
          <w:lang w:val="sr-Cyrl-CS"/>
        </w:rPr>
        <w:t xml:space="preserve">Уговор о закупу ће бити потписан са изабраним понуђачем у року од </w:t>
      </w:r>
      <w:r>
        <w:rPr>
          <w:rFonts w:ascii="Times New Roman" w:hAnsi="Times New Roman"/>
          <w:lang w:val="sr-Latn-RS"/>
        </w:rPr>
        <w:t>5</w:t>
      </w:r>
      <w:r>
        <w:rPr>
          <w:rFonts w:ascii="Times New Roman" w:hAnsi="Times New Roman"/>
          <w:lang w:val="sr-Cyrl-RS"/>
        </w:rPr>
        <w:t xml:space="preserve"> радних</w:t>
      </w:r>
      <w:r>
        <w:rPr>
          <w:rFonts w:ascii="Times New Roman" w:hAnsi="Times New Roman"/>
          <w:lang w:val="sr-Latn-RS"/>
        </w:rPr>
        <w:t xml:space="preserve"> </w:t>
      </w:r>
      <w:r>
        <w:rPr>
          <w:rFonts w:ascii="Times New Roman" w:hAnsi="Times New Roman"/>
          <w:lang w:val="sr-Cyrl-CS"/>
        </w:rPr>
        <w:t>дана од дана избора понуђача.</w:t>
      </w:r>
    </w:p>
    <w:p w14:paraId="4C50503D" w14:textId="77777777" w:rsidR="00D348F7" w:rsidRDefault="00D348F7" w:rsidP="00FA3A65">
      <w:pPr>
        <w:spacing w:after="0" w:line="240" w:lineRule="auto"/>
        <w:jc w:val="both"/>
        <w:rPr>
          <w:rFonts w:ascii="Times New Roman" w:hAnsi="Times New Roman"/>
          <w:lang w:val="sr-Cyrl-CS"/>
        </w:rPr>
      </w:pPr>
    </w:p>
    <w:p w14:paraId="40231D23" w14:textId="77777777" w:rsidR="00D348F7" w:rsidRDefault="00B47619" w:rsidP="00FA3A65">
      <w:pPr>
        <w:spacing w:after="0" w:line="240" w:lineRule="auto"/>
        <w:jc w:val="both"/>
        <w:rPr>
          <w:rFonts w:ascii="Times New Roman" w:hAnsi="Times New Roman"/>
          <w:lang w:val="sr-Latn-CS"/>
        </w:rPr>
      </w:pPr>
      <w:r>
        <w:rPr>
          <w:rFonts w:ascii="Times New Roman" w:hAnsi="Times New Roman"/>
          <w:lang w:val="sr-Cyrl-CS"/>
        </w:rPr>
        <w:t>Ближе информације се могу добити на телефон повереника стечајног управника – Агенције за лиценцирање стечајних управника, Павел Северињи 06</w:t>
      </w:r>
      <w:r>
        <w:rPr>
          <w:rFonts w:ascii="Times New Roman" w:hAnsi="Times New Roman"/>
          <w:lang w:val="sr-Latn-CS"/>
        </w:rPr>
        <w:t xml:space="preserve">2/ 8015905 </w:t>
      </w:r>
      <w:r>
        <w:rPr>
          <w:rFonts w:ascii="Times New Roman" w:hAnsi="Times New Roman"/>
          <w:lang w:val="sr-Cyrl-RS"/>
        </w:rPr>
        <w:t xml:space="preserve">или путем електронске поште </w:t>
      </w:r>
      <w:r>
        <w:rPr>
          <w:rFonts w:ascii="Times New Roman" w:hAnsi="Times New Roman"/>
          <w:lang w:val="sr-Latn-CS"/>
        </w:rPr>
        <w:t>boreli@boreli. rs</w:t>
      </w:r>
    </w:p>
    <w:p w14:paraId="1E218D8D" w14:textId="77777777" w:rsidR="00D348F7" w:rsidRDefault="00D348F7" w:rsidP="00FA3A65">
      <w:pPr>
        <w:spacing w:after="0" w:line="240" w:lineRule="auto"/>
        <w:jc w:val="both"/>
        <w:rPr>
          <w:rFonts w:ascii="Times New Roman" w:hAnsi="Times New Roman"/>
          <w:lang w:val="sr-Cyrl-CS"/>
        </w:rPr>
      </w:pPr>
    </w:p>
    <w:p w14:paraId="084018CB" w14:textId="77777777" w:rsidR="00D348F7" w:rsidRDefault="00D348F7">
      <w:pPr>
        <w:pStyle w:val="ListParagraph"/>
        <w:spacing w:after="0" w:line="240" w:lineRule="auto"/>
        <w:ind w:left="0"/>
        <w:jc w:val="both"/>
        <w:rPr>
          <w:rFonts w:ascii="Times New Roman" w:hAnsi="Times New Roman"/>
          <w:lang w:val="sr-Cyrl-CS"/>
        </w:rPr>
      </w:pPr>
    </w:p>
    <w:p w14:paraId="1E03CA90" w14:textId="77777777" w:rsidR="00D348F7" w:rsidRDefault="00D348F7">
      <w:pPr>
        <w:tabs>
          <w:tab w:val="left" w:pos="312"/>
        </w:tabs>
        <w:spacing w:after="0" w:line="240" w:lineRule="auto"/>
        <w:rPr>
          <w:rFonts w:ascii="Times New Roman" w:hAnsi="Times New Roman"/>
          <w:b/>
          <w:lang w:val="sr-Cyrl-CS"/>
        </w:rPr>
      </w:pPr>
    </w:p>
    <w:p w14:paraId="2880C5E0" w14:textId="77777777" w:rsidR="00D348F7" w:rsidRPr="00FB6B44" w:rsidRDefault="00D348F7">
      <w:pPr>
        <w:jc w:val="both"/>
        <w:rPr>
          <w:rFonts w:ascii="Times New Roman" w:hAnsi="Times New Roman"/>
          <w:lang w:val="sr-Cyrl-RS"/>
        </w:rPr>
      </w:pPr>
    </w:p>
    <w:p w14:paraId="2FD24414" w14:textId="77777777" w:rsidR="00D348F7" w:rsidRPr="00FB6B44" w:rsidRDefault="00D348F7">
      <w:pPr>
        <w:rPr>
          <w:lang w:val="sr-Cyrl-RS"/>
        </w:rPr>
      </w:pPr>
    </w:p>
    <w:sectPr w:rsidR="00D348F7" w:rsidRPr="00FB6B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03FB" w14:textId="77777777" w:rsidR="0061645B" w:rsidRDefault="0061645B">
      <w:pPr>
        <w:spacing w:after="0" w:line="240" w:lineRule="auto"/>
      </w:pPr>
      <w:r>
        <w:separator/>
      </w:r>
    </w:p>
  </w:endnote>
  <w:endnote w:type="continuationSeparator" w:id="0">
    <w:p w14:paraId="4997E86C" w14:textId="77777777" w:rsidR="0061645B" w:rsidRDefault="0061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0E9B" w14:textId="77777777" w:rsidR="0061645B" w:rsidRDefault="0061645B">
      <w:pPr>
        <w:spacing w:after="0" w:line="240" w:lineRule="auto"/>
      </w:pPr>
      <w:r>
        <w:separator/>
      </w:r>
    </w:p>
  </w:footnote>
  <w:footnote w:type="continuationSeparator" w:id="0">
    <w:p w14:paraId="0B33164B" w14:textId="77777777" w:rsidR="0061645B" w:rsidRDefault="0061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F541" w14:textId="77777777" w:rsidR="00D348F7" w:rsidRDefault="00D348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21BD"/>
    <w:multiLevelType w:val="hybridMultilevel"/>
    <w:tmpl w:val="8DDA4D52"/>
    <w:lvl w:ilvl="0" w:tplc="B7362A56">
      <w:numFmt w:val="bullet"/>
      <w:lvlText w:val="-"/>
      <w:lvlJc w:val="left"/>
      <w:pPr>
        <w:ind w:left="720" w:hanging="360"/>
      </w:pPr>
      <w:rPr>
        <w:rFonts w:ascii="Times New Roman" w:eastAsia="Calibri"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 w15:restartNumberingAfterBreak="0">
    <w:nsid w:val="57A0661E"/>
    <w:multiLevelType w:val="multilevel"/>
    <w:tmpl w:val="57A06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647573B"/>
    <w:multiLevelType w:val="multilevel"/>
    <w:tmpl w:val="7647573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2694749">
    <w:abstractNumId w:val="1"/>
  </w:num>
  <w:num w:numId="2" w16cid:durableId="598027984">
    <w:abstractNumId w:val="2"/>
  </w:num>
  <w:num w:numId="3" w16cid:durableId="213374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251A7C"/>
    <w:rsid w:val="00276032"/>
    <w:rsid w:val="002E1FF3"/>
    <w:rsid w:val="00325D79"/>
    <w:rsid w:val="00341CD4"/>
    <w:rsid w:val="00413013"/>
    <w:rsid w:val="00520CED"/>
    <w:rsid w:val="00533565"/>
    <w:rsid w:val="00547CE8"/>
    <w:rsid w:val="0061645B"/>
    <w:rsid w:val="00634BF0"/>
    <w:rsid w:val="006C1746"/>
    <w:rsid w:val="00715A62"/>
    <w:rsid w:val="008944E8"/>
    <w:rsid w:val="008955A4"/>
    <w:rsid w:val="008B7358"/>
    <w:rsid w:val="008E223E"/>
    <w:rsid w:val="009A0B78"/>
    <w:rsid w:val="00B47619"/>
    <w:rsid w:val="00B57F9A"/>
    <w:rsid w:val="00BA0ACE"/>
    <w:rsid w:val="00BA331A"/>
    <w:rsid w:val="00BD7A35"/>
    <w:rsid w:val="00CA732D"/>
    <w:rsid w:val="00D14449"/>
    <w:rsid w:val="00D348F7"/>
    <w:rsid w:val="00EF592A"/>
    <w:rsid w:val="00F2158C"/>
    <w:rsid w:val="00F64791"/>
    <w:rsid w:val="00FA3A65"/>
    <w:rsid w:val="00FB6B44"/>
    <w:rsid w:val="27881BB4"/>
    <w:rsid w:val="309B45F2"/>
    <w:rsid w:val="34D5245F"/>
    <w:rsid w:val="41167EAB"/>
    <w:rsid w:val="57251A7C"/>
    <w:rsid w:val="67850405"/>
    <w:rsid w:val="68B33211"/>
    <w:rsid w:val="69796D3F"/>
    <w:rsid w:val="6DBD4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8B014"/>
  <w15:docId w15:val="{D9A322A6-25EB-4745-938D-B5B9C41A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r-Latn-RS" w:eastAsia="sr-Latn-R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uiPriority w:val="9"/>
    <w:qFormat/>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qFormat/>
    <w:pPr>
      <w:tabs>
        <w:tab w:val="center" w:pos="4680"/>
        <w:tab w:val="right" w:pos="9360"/>
      </w:tabs>
      <w:spacing w:after="0" w:line="240" w:lineRule="auto"/>
    </w:p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Standard">
    <w:name w:val="Standard"/>
    <w:rsid w:val="00FA3A65"/>
    <w:pPr>
      <w:suppressAutoHyphens/>
      <w:autoSpaceDN w:val="0"/>
      <w:spacing w:after="200" w:line="276" w:lineRule="auto"/>
      <w:textAlignment w:val="baseline"/>
    </w:pPr>
    <w:rPr>
      <w:kern w:val="3"/>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154151">
      <w:bodyDiv w:val="1"/>
      <w:marLeft w:val="0"/>
      <w:marRight w:val="0"/>
      <w:marTop w:val="0"/>
      <w:marBottom w:val="0"/>
      <w:divBdr>
        <w:top w:val="none" w:sz="0" w:space="0" w:color="auto"/>
        <w:left w:val="none" w:sz="0" w:space="0" w:color="auto"/>
        <w:bottom w:val="none" w:sz="0" w:space="0" w:color="auto"/>
        <w:right w:val="none" w:sz="0" w:space="0" w:color="auto"/>
      </w:divBdr>
    </w:div>
    <w:div w:id="171831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779</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vbiocanin</cp:lastModifiedBy>
  <cp:revision>7</cp:revision>
  <cp:lastPrinted>2019-03-20T08:16:00Z</cp:lastPrinted>
  <dcterms:created xsi:type="dcterms:W3CDTF">2025-03-14T07:21:00Z</dcterms:created>
  <dcterms:modified xsi:type="dcterms:W3CDTF">2025-03-14T07:26:00Z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