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На основу Закона о стечају ("Сл. гласник РС", бр. 104/2009, 99/2011 - др. закон, 71/2012 – одлука УС, 83/2014, 113/2017, 44/2018 и 95/2018) и у складу са Националним стандардом бр. 5 о начину и поступку уновчења имовине стечајног дужника, стечајни управник у поступку стечаја над стечајним дужником “</w:t>
      </w:r>
      <w:r w:rsidR="009D5214">
        <w:rPr>
          <w:rFonts w:ascii="Calibri" w:eastAsia="Times New Roman" w:hAnsi="Calibri" w:cs="Times New Roman"/>
          <w:color w:val="000000"/>
          <w:sz w:val="24"/>
          <w:szCs w:val="24"/>
        </w:rPr>
        <w:t>Agroprom com</w:t>
      </w:r>
      <w:r w:rsidRPr="00566DD4">
        <w:rPr>
          <w:rFonts w:ascii="Calibri" w:eastAsia="Times New Roman" w:hAnsi="Calibri" w:cs="Times New Roman"/>
          <w:color w:val="000000"/>
          <w:sz w:val="24"/>
          <w:szCs w:val="24"/>
        </w:rPr>
        <w:t xml:space="preserve">” доо у стечају, из </w:t>
      </w:r>
      <w:r w:rsidR="009D5214">
        <w:rPr>
          <w:rFonts w:ascii="Calibri" w:eastAsia="Times New Roman" w:hAnsi="Calibri" w:cs="Times New Roman"/>
          <w:color w:val="000000"/>
          <w:sz w:val="24"/>
          <w:szCs w:val="24"/>
          <w:lang w:val="sr-Cyrl-BA"/>
        </w:rPr>
        <w:t>Сремске Митровице</w:t>
      </w:r>
      <w:r w:rsidR="006E5177" w:rsidRPr="00566DD4">
        <w:rPr>
          <w:rFonts w:ascii="Calibri" w:eastAsia="Times New Roman" w:hAnsi="Calibri" w:cs="Times New Roman"/>
          <w:color w:val="000000"/>
          <w:sz w:val="24"/>
          <w:szCs w:val="24"/>
        </w:rPr>
        <w:t xml:space="preserve">, </w:t>
      </w:r>
      <w:r w:rsidR="009D5214">
        <w:rPr>
          <w:rFonts w:ascii="Calibri" w:eastAsia="Times New Roman" w:hAnsi="Calibri" w:cs="Times New Roman"/>
          <w:color w:val="000000"/>
          <w:sz w:val="24"/>
          <w:szCs w:val="24"/>
          <w:lang w:val="sr-Cyrl-BA"/>
        </w:rPr>
        <w:t>Ул. Светог Димитрија бр. 33</w:t>
      </w:r>
      <w:r w:rsidR="006E5177" w:rsidRPr="00566DD4">
        <w:rPr>
          <w:rFonts w:ascii="Calibri" w:eastAsia="Times New Roman" w:hAnsi="Calibri" w:cs="Times New Roman"/>
          <w:color w:val="000000"/>
          <w:sz w:val="24"/>
          <w:szCs w:val="24"/>
        </w:rPr>
        <w:t>,</w:t>
      </w:r>
      <w:r w:rsidRPr="00566DD4">
        <w:rPr>
          <w:rFonts w:ascii="Calibri" w:eastAsia="Times New Roman" w:hAnsi="Calibri" w:cs="Times New Roman"/>
          <w:color w:val="000000"/>
          <w:sz w:val="24"/>
          <w:szCs w:val="24"/>
        </w:rPr>
        <w:t xml:space="preserve"> објављује:</w:t>
      </w:r>
    </w:p>
    <w:p w:rsidR="009D5214" w:rsidRPr="00526498" w:rsidRDefault="00BC1FC7" w:rsidP="00526498">
      <w:pPr>
        <w:jc w:val="both"/>
        <w:rPr>
          <w:sz w:val="24"/>
          <w:szCs w:val="24"/>
        </w:rPr>
      </w:pPr>
      <w:r>
        <w:rPr>
          <w:sz w:val="24"/>
          <w:szCs w:val="24"/>
          <w:lang w:val="sr-Cyrl-BA"/>
        </w:rPr>
        <w:t xml:space="preserve">ДРУГИ </w:t>
      </w:r>
      <w:r w:rsidR="006E5177" w:rsidRPr="0098604C">
        <w:rPr>
          <w:sz w:val="24"/>
          <w:szCs w:val="24"/>
        </w:rPr>
        <w:t xml:space="preserve">ПОЗИВ </w:t>
      </w:r>
      <w:r w:rsidR="0098604C">
        <w:rPr>
          <w:sz w:val="24"/>
          <w:szCs w:val="24"/>
        </w:rPr>
        <w:t>ЗА ДОСТАВЉАЊЕ ПОНУДЕ</w:t>
      </w:r>
      <w:r w:rsidR="006E5177" w:rsidRPr="0098604C">
        <w:rPr>
          <w:sz w:val="24"/>
          <w:szCs w:val="24"/>
        </w:rPr>
        <w:t xml:space="preserve"> ЗА </w:t>
      </w:r>
      <w:r w:rsidR="0098604C">
        <w:rPr>
          <w:sz w:val="24"/>
          <w:szCs w:val="24"/>
        </w:rPr>
        <w:t>ИЗРАДУ</w:t>
      </w:r>
      <w:r w:rsidR="006E5177" w:rsidRPr="0098604C">
        <w:rPr>
          <w:sz w:val="24"/>
          <w:szCs w:val="24"/>
        </w:rPr>
        <w:t xml:space="preserve"> ПРОЦЕНЕ ВРЕДНОСТИ ЦЕЛОКУПНЕ ИМОВИНЕ</w:t>
      </w:r>
      <w:r w:rsidR="0098604C">
        <w:rPr>
          <w:sz w:val="24"/>
          <w:szCs w:val="24"/>
        </w:rPr>
        <w:t>, ПРОЦЕНЕ</w:t>
      </w:r>
      <w:r w:rsidR="006E5177" w:rsidRPr="0098604C">
        <w:rPr>
          <w:sz w:val="24"/>
          <w:szCs w:val="24"/>
        </w:rPr>
        <w:t xml:space="preserve"> СТЕЧАЈНОГ ДУЖНИКА</w:t>
      </w:r>
      <w:r w:rsidR="0098604C">
        <w:rPr>
          <w:sz w:val="24"/>
          <w:szCs w:val="24"/>
        </w:rPr>
        <w:t xml:space="preserve"> КАО ПРАВНОГ ЛИЦА</w:t>
      </w:r>
      <w:r w:rsidR="006E5177" w:rsidRPr="0098604C">
        <w:rPr>
          <w:sz w:val="24"/>
          <w:szCs w:val="24"/>
        </w:rPr>
        <w:t xml:space="preserve"> И </w:t>
      </w:r>
      <w:r w:rsidR="0098604C">
        <w:rPr>
          <w:sz w:val="24"/>
          <w:szCs w:val="24"/>
        </w:rPr>
        <w:t>ДАВАЊЕ МИШЉЕЊА О</w:t>
      </w:r>
      <w:r w:rsidR="006E5177" w:rsidRPr="0098604C">
        <w:rPr>
          <w:sz w:val="24"/>
          <w:szCs w:val="24"/>
        </w:rPr>
        <w:t xml:space="preserve"> ЦЕЛИСХОДНОСТИ ПРОДАЈЕ СТЕЧАЈНОГ ДУЖНИКА КАО ПРАВНОГ ЛИЦА У ОДНОСУ НА ПРОДАЈУ У ДЕЛОВИМА</w:t>
      </w:r>
    </w:p>
    <w:p w:rsidR="00D904B9" w:rsidRPr="00566DD4" w:rsidRDefault="00D904B9" w:rsidP="00D904B9">
      <w:pPr>
        <w:numPr>
          <w:ilvl w:val="0"/>
          <w:numId w:val="1"/>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УВОД</w:t>
      </w:r>
    </w:p>
    <w:p w:rsidR="006E5177" w:rsidRDefault="00D904B9" w:rsidP="006E5177">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Решењем Привредног суда у Сремској Митровица бр. СТ-</w:t>
      </w:r>
      <w:r w:rsidR="009D5214">
        <w:rPr>
          <w:rFonts w:ascii="Calibri" w:eastAsia="Times New Roman" w:hAnsi="Calibri" w:cs="Times New Roman"/>
          <w:color w:val="000000"/>
          <w:sz w:val="24"/>
          <w:szCs w:val="24"/>
          <w:lang w:val="sr-Cyrl-BA"/>
        </w:rPr>
        <w:t>9</w:t>
      </w:r>
      <w:r w:rsidRPr="00566DD4">
        <w:rPr>
          <w:rFonts w:ascii="Calibri" w:eastAsia="Times New Roman" w:hAnsi="Calibri" w:cs="Times New Roman"/>
          <w:color w:val="000000"/>
          <w:sz w:val="24"/>
          <w:szCs w:val="24"/>
        </w:rPr>
        <w:t>/20</w:t>
      </w:r>
      <w:r w:rsidR="009D5214">
        <w:rPr>
          <w:rFonts w:ascii="Calibri" w:eastAsia="Times New Roman" w:hAnsi="Calibri" w:cs="Times New Roman"/>
          <w:color w:val="000000"/>
          <w:sz w:val="24"/>
          <w:szCs w:val="24"/>
          <w:lang w:val="sr-Cyrl-BA"/>
        </w:rPr>
        <w:t>21</w:t>
      </w:r>
      <w:r w:rsidRPr="00566DD4">
        <w:rPr>
          <w:rFonts w:ascii="Calibri" w:eastAsia="Times New Roman" w:hAnsi="Calibri" w:cs="Times New Roman"/>
          <w:color w:val="000000"/>
          <w:sz w:val="24"/>
          <w:szCs w:val="24"/>
        </w:rPr>
        <w:t xml:space="preserve"> од </w:t>
      </w:r>
      <w:r w:rsidR="009D5214">
        <w:rPr>
          <w:rFonts w:ascii="Calibri" w:eastAsia="Times New Roman" w:hAnsi="Calibri" w:cs="Times New Roman"/>
          <w:color w:val="000000"/>
          <w:sz w:val="24"/>
          <w:szCs w:val="24"/>
          <w:lang w:val="sr-Cyrl-BA"/>
        </w:rPr>
        <w:t>11</w:t>
      </w:r>
      <w:r w:rsidRPr="00566DD4">
        <w:rPr>
          <w:rFonts w:ascii="Calibri" w:eastAsia="Times New Roman" w:hAnsi="Calibri" w:cs="Times New Roman"/>
          <w:color w:val="000000"/>
          <w:sz w:val="24"/>
          <w:szCs w:val="24"/>
        </w:rPr>
        <w:t>.</w:t>
      </w:r>
      <w:r w:rsidR="009D5214">
        <w:rPr>
          <w:rFonts w:ascii="Calibri" w:eastAsia="Times New Roman" w:hAnsi="Calibri" w:cs="Times New Roman"/>
          <w:color w:val="000000"/>
          <w:sz w:val="24"/>
          <w:szCs w:val="24"/>
          <w:lang w:val="sr-Cyrl-BA"/>
        </w:rPr>
        <w:t>05</w:t>
      </w:r>
      <w:r w:rsidRPr="00566DD4">
        <w:rPr>
          <w:rFonts w:ascii="Calibri" w:eastAsia="Times New Roman" w:hAnsi="Calibri" w:cs="Times New Roman"/>
          <w:color w:val="000000"/>
          <w:sz w:val="24"/>
          <w:szCs w:val="24"/>
        </w:rPr>
        <w:t>.20</w:t>
      </w:r>
      <w:r w:rsidR="009D5214">
        <w:rPr>
          <w:rFonts w:ascii="Calibri" w:eastAsia="Times New Roman" w:hAnsi="Calibri" w:cs="Times New Roman"/>
          <w:color w:val="000000"/>
          <w:sz w:val="24"/>
          <w:szCs w:val="24"/>
          <w:lang w:val="sr-Cyrl-BA"/>
        </w:rPr>
        <w:t>21</w:t>
      </w:r>
      <w:r w:rsidRPr="00566DD4">
        <w:rPr>
          <w:rFonts w:ascii="Calibri" w:eastAsia="Times New Roman" w:hAnsi="Calibri" w:cs="Times New Roman"/>
          <w:color w:val="000000"/>
          <w:sz w:val="24"/>
          <w:szCs w:val="24"/>
        </w:rPr>
        <w:t xml:space="preserve">. године отворен је стечајни поступак над стечајним дужником </w:t>
      </w:r>
      <w:r w:rsidR="009D5214" w:rsidRPr="00566DD4">
        <w:rPr>
          <w:rFonts w:ascii="Calibri" w:eastAsia="Times New Roman" w:hAnsi="Calibri" w:cs="Times New Roman"/>
          <w:color w:val="000000"/>
          <w:sz w:val="24"/>
          <w:szCs w:val="24"/>
        </w:rPr>
        <w:t>“</w:t>
      </w:r>
      <w:r w:rsidR="009D5214">
        <w:rPr>
          <w:rFonts w:ascii="Calibri" w:eastAsia="Times New Roman" w:hAnsi="Calibri" w:cs="Times New Roman"/>
          <w:color w:val="000000"/>
          <w:sz w:val="24"/>
          <w:szCs w:val="24"/>
        </w:rPr>
        <w:t>Agroprom com</w:t>
      </w:r>
      <w:r w:rsidR="009D5214" w:rsidRPr="00566DD4">
        <w:rPr>
          <w:rFonts w:ascii="Calibri" w:eastAsia="Times New Roman" w:hAnsi="Calibri" w:cs="Times New Roman"/>
          <w:color w:val="000000"/>
          <w:sz w:val="24"/>
          <w:szCs w:val="24"/>
        </w:rPr>
        <w:t xml:space="preserve">” доо у стечају </w:t>
      </w:r>
      <w:r w:rsidR="009D5214">
        <w:rPr>
          <w:rFonts w:ascii="Calibri" w:eastAsia="Times New Roman" w:hAnsi="Calibri" w:cs="Times New Roman"/>
          <w:color w:val="000000"/>
          <w:sz w:val="24"/>
          <w:szCs w:val="24"/>
        </w:rPr>
        <w:t xml:space="preserve">Сремска Митровица. </w:t>
      </w:r>
      <w:r w:rsidR="006E5177" w:rsidRPr="00566DD4">
        <w:rPr>
          <w:rFonts w:ascii="Calibri" w:eastAsia="Times New Roman" w:hAnsi="Calibri" w:cs="Times New Roman"/>
          <w:color w:val="000000"/>
          <w:sz w:val="24"/>
          <w:szCs w:val="24"/>
        </w:rPr>
        <w:t>Решењем Привредног суда СТ-</w:t>
      </w:r>
      <w:r w:rsidR="009D5214">
        <w:rPr>
          <w:rFonts w:ascii="Calibri" w:eastAsia="Times New Roman" w:hAnsi="Calibri" w:cs="Times New Roman"/>
          <w:color w:val="000000"/>
          <w:sz w:val="24"/>
          <w:szCs w:val="24"/>
          <w:lang w:val="sr-Cyrl-BA"/>
        </w:rPr>
        <w:t>9</w:t>
      </w:r>
      <w:r w:rsidR="006E5177" w:rsidRPr="00566DD4">
        <w:rPr>
          <w:rFonts w:ascii="Calibri" w:eastAsia="Times New Roman" w:hAnsi="Calibri" w:cs="Times New Roman"/>
          <w:color w:val="000000"/>
          <w:sz w:val="24"/>
          <w:szCs w:val="24"/>
        </w:rPr>
        <w:t>/20</w:t>
      </w:r>
      <w:r w:rsidR="009D5214">
        <w:rPr>
          <w:rFonts w:ascii="Calibri" w:eastAsia="Times New Roman" w:hAnsi="Calibri" w:cs="Times New Roman"/>
          <w:color w:val="000000"/>
          <w:sz w:val="24"/>
          <w:szCs w:val="24"/>
          <w:lang w:val="sr-Cyrl-BA"/>
        </w:rPr>
        <w:t xml:space="preserve">21 </w:t>
      </w:r>
      <w:r w:rsidR="006E5177" w:rsidRPr="00566DD4">
        <w:rPr>
          <w:rFonts w:ascii="Calibri" w:eastAsia="Times New Roman" w:hAnsi="Calibri" w:cs="Times New Roman"/>
          <w:color w:val="000000"/>
          <w:sz w:val="24"/>
          <w:szCs w:val="24"/>
        </w:rPr>
        <w:t>од 3</w:t>
      </w:r>
      <w:r w:rsidR="009D5214">
        <w:rPr>
          <w:rFonts w:ascii="Calibri" w:eastAsia="Times New Roman" w:hAnsi="Calibri" w:cs="Times New Roman"/>
          <w:color w:val="000000"/>
          <w:sz w:val="24"/>
          <w:szCs w:val="24"/>
          <w:lang w:val="sr-Cyrl-BA"/>
        </w:rPr>
        <w:t>1</w:t>
      </w:r>
      <w:r w:rsidR="006E5177" w:rsidRPr="00566DD4">
        <w:rPr>
          <w:rFonts w:ascii="Calibri" w:eastAsia="Times New Roman" w:hAnsi="Calibri" w:cs="Times New Roman"/>
          <w:color w:val="000000"/>
          <w:sz w:val="24"/>
          <w:szCs w:val="24"/>
        </w:rPr>
        <w:t>.0</w:t>
      </w:r>
      <w:r w:rsidR="009D5214">
        <w:rPr>
          <w:rFonts w:ascii="Calibri" w:eastAsia="Times New Roman" w:hAnsi="Calibri" w:cs="Times New Roman"/>
          <w:color w:val="000000"/>
          <w:sz w:val="24"/>
          <w:szCs w:val="24"/>
          <w:lang w:val="sr-Cyrl-BA"/>
        </w:rPr>
        <w:t>8</w:t>
      </w:r>
      <w:r w:rsidR="006E5177" w:rsidRPr="00566DD4">
        <w:rPr>
          <w:rFonts w:ascii="Calibri" w:eastAsia="Times New Roman" w:hAnsi="Calibri" w:cs="Times New Roman"/>
          <w:color w:val="000000"/>
          <w:sz w:val="24"/>
          <w:szCs w:val="24"/>
        </w:rPr>
        <w:t>.2021. одређено је банкротство стечајног дужника</w:t>
      </w:r>
      <w:r w:rsidR="00113110">
        <w:rPr>
          <w:rFonts w:ascii="Calibri" w:eastAsia="Times New Roman" w:hAnsi="Calibri" w:cs="Times New Roman"/>
          <w:color w:val="000000"/>
          <w:sz w:val="24"/>
          <w:szCs w:val="24"/>
        </w:rPr>
        <w:t>.</w:t>
      </w:r>
    </w:p>
    <w:p w:rsidR="009F24FA" w:rsidRPr="009F24FA" w:rsidRDefault="009F24FA" w:rsidP="006E5177">
      <w:pPr>
        <w:spacing w:line="240" w:lineRule="auto"/>
        <w:jc w:val="both"/>
        <w:rPr>
          <w:rFonts w:ascii="Calibri" w:eastAsia="Times New Roman" w:hAnsi="Calibri" w:cs="Times New Roman"/>
          <w:color w:val="000000"/>
          <w:sz w:val="24"/>
          <w:szCs w:val="24"/>
          <w:lang w:val="sr-Cyrl-BA"/>
        </w:rPr>
      </w:pPr>
      <w:r>
        <w:rPr>
          <w:rFonts w:ascii="Calibri" w:eastAsia="Times New Roman" w:hAnsi="Calibri" w:cs="Times New Roman"/>
          <w:color w:val="000000"/>
          <w:sz w:val="24"/>
          <w:szCs w:val="24"/>
          <w:lang w:val="sr-Cyrl-BA"/>
        </w:rPr>
        <w:t xml:space="preserve">Дана 08.09.2021. године стечајни управник је на званичном сајту Агенције за лиценцирање стечајних управника објавио Оглас за прикупљање понуда проценитеља за израду извештаја о процени имовине. </w:t>
      </w:r>
    </w:p>
    <w:p w:rsidR="009F24FA" w:rsidRDefault="009F24FA" w:rsidP="006E5177">
      <w:pPr>
        <w:spacing w:line="240" w:lineRule="auto"/>
        <w:jc w:val="both"/>
        <w:rPr>
          <w:rFonts w:ascii="Calibri" w:eastAsia="Times New Roman" w:hAnsi="Calibri" w:cs="Times New Roman"/>
          <w:color w:val="000000"/>
          <w:sz w:val="24"/>
          <w:szCs w:val="24"/>
        </w:rPr>
      </w:pPr>
      <w:r>
        <w:rPr>
          <w:rFonts w:ascii="Calibri" w:eastAsia="Times New Roman" w:hAnsi="Calibri" w:cs="Times New Roman"/>
          <w:color w:val="000000"/>
          <w:sz w:val="24"/>
          <w:szCs w:val="24"/>
          <w:lang w:val="sr-Cyrl-BA"/>
        </w:rPr>
        <w:t xml:space="preserve">У међувремену, </w:t>
      </w:r>
      <w:r w:rsidR="00BC1FC7">
        <w:rPr>
          <w:rFonts w:ascii="Calibri" w:eastAsia="Times New Roman" w:hAnsi="Calibri" w:cs="Times New Roman"/>
          <w:color w:val="000000"/>
          <w:sz w:val="24"/>
          <w:szCs w:val="24"/>
        </w:rPr>
        <w:t>Решењ</w:t>
      </w:r>
      <w:r w:rsidR="00BC1FC7">
        <w:rPr>
          <w:rFonts w:ascii="Calibri" w:eastAsia="Times New Roman" w:hAnsi="Calibri" w:cs="Times New Roman"/>
          <w:color w:val="000000"/>
          <w:sz w:val="24"/>
          <w:szCs w:val="24"/>
          <w:lang w:val="sr-Cyrl-BA"/>
        </w:rPr>
        <w:t>е</w:t>
      </w:r>
      <w:r w:rsidR="00BC1FC7">
        <w:rPr>
          <w:rFonts w:ascii="Calibri" w:eastAsia="Times New Roman" w:hAnsi="Calibri" w:cs="Times New Roman"/>
          <w:color w:val="000000"/>
          <w:sz w:val="24"/>
          <w:szCs w:val="24"/>
        </w:rPr>
        <w:t>м П</w:t>
      </w:r>
      <w:r w:rsidR="00BC1FC7">
        <w:rPr>
          <w:rFonts w:ascii="Calibri" w:eastAsia="Times New Roman" w:hAnsi="Calibri" w:cs="Times New Roman"/>
          <w:color w:val="000000"/>
          <w:sz w:val="24"/>
          <w:szCs w:val="24"/>
          <w:lang w:val="sr-Cyrl-BA"/>
        </w:rPr>
        <w:t xml:space="preserve">ривредног суда у Сремској Митровици бр. СТ-9/2021 од 22.09. 2021. године усвојен је предлог разлучног повериоца </w:t>
      </w:r>
      <w:r w:rsidR="00BC1FC7">
        <w:rPr>
          <w:rFonts w:ascii="Calibri" w:eastAsia="Times New Roman" w:hAnsi="Calibri" w:cs="Times New Roman"/>
          <w:color w:val="000000"/>
          <w:sz w:val="24"/>
          <w:szCs w:val="24"/>
        </w:rPr>
        <w:t xml:space="preserve">Expobank ad Beograd и укинута је забрана извршења и намирења против стечајног дужника односно над његовом </w:t>
      </w:r>
      <w:r w:rsidR="00F7111F">
        <w:rPr>
          <w:rFonts w:ascii="Calibri" w:eastAsia="Times New Roman" w:hAnsi="Calibri" w:cs="Times New Roman"/>
          <w:color w:val="000000"/>
          <w:sz w:val="24"/>
          <w:szCs w:val="24"/>
          <w:lang w:val="sr-Cyrl-BA"/>
        </w:rPr>
        <w:t xml:space="preserve">непокретном </w:t>
      </w:r>
      <w:r w:rsidR="00BC1FC7">
        <w:rPr>
          <w:rFonts w:ascii="Calibri" w:eastAsia="Times New Roman" w:hAnsi="Calibri" w:cs="Times New Roman"/>
          <w:color w:val="000000"/>
          <w:sz w:val="24"/>
          <w:szCs w:val="24"/>
        </w:rPr>
        <w:t xml:space="preserve">имовином која је уписана у листу непокретности број 5076 КО Таванкут. </w:t>
      </w:r>
    </w:p>
    <w:p w:rsidR="009F24FA" w:rsidRDefault="00A75D8A" w:rsidP="006E5177">
      <w:pPr>
        <w:spacing w:line="240" w:lineRule="auto"/>
        <w:jc w:val="both"/>
        <w:rPr>
          <w:rFonts w:ascii="Calibri" w:eastAsia="Times New Roman" w:hAnsi="Calibri" w:cs="Times New Roman"/>
          <w:color w:val="000000"/>
          <w:sz w:val="24"/>
          <w:szCs w:val="24"/>
          <w:lang w:val="sr-Cyrl-BA"/>
        </w:rPr>
      </w:pPr>
      <w:r>
        <w:rPr>
          <w:rFonts w:ascii="Calibri" w:eastAsia="Times New Roman" w:hAnsi="Calibri" w:cs="Times New Roman"/>
          <w:color w:val="000000"/>
          <w:sz w:val="24"/>
          <w:szCs w:val="24"/>
          <w:lang w:val="sr-Cyrl-BA"/>
        </w:rPr>
        <w:t>Из наведеног разлога дошло је до промене у предметној имовини стечајног дужника</w:t>
      </w:r>
      <w:r w:rsidR="009F24FA">
        <w:rPr>
          <w:rFonts w:ascii="Calibri" w:eastAsia="Times New Roman" w:hAnsi="Calibri" w:cs="Times New Roman"/>
          <w:color w:val="000000"/>
          <w:sz w:val="24"/>
          <w:szCs w:val="24"/>
          <w:lang w:val="sr-Cyrl-BA"/>
        </w:rPr>
        <w:t xml:space="preserve"> која је обухваћена првобитно објављеним </w:t>
      </w:r>
      <w:r w:rsidR="00F7111F">
        <w:rPr>
          <w:rFonts w:ascii="Calibri" w:eastAsia="Times New Roman" w:hAnsi="Calibri" w:cs="Times New Roman"/>
          <w:color w:val="000000"/>
          <w:sz w:val="24"/>
          <w:szCs w:val="24"/>
          <w:lang w:val="sr-Cyrl-BA"/>
        </w:rPr>
        <w:t>огласом, те се зато објављује нови оглас</w:t>
      </w:r>
      <w:r w:rsidR="009F24FA">
        <w:rPr>
          <w:rFonts w:ascii="Calibri" w:eastAsia="Times New Roman" w:hAnsi="Calibri" w:cs="Times New Roman"/>
          <w:color w:val="000000"/>
          <w:sz w:val="24"/>
          <w:szCs w:val="24"/>
          <w:lang w:val="sr-Cyrl-BA"/>
        </w:rPr>
        <w:t xml:space="preserve">. </w:t>
      </w:r>
      <w:bookmarkStart w:id="0" w:name="_GoBack"/>
      <w:bookmarkEnd w:id="0"/>
    </w:p>
    <w:p w:rsidR="00BC1FC7" w:rsidRPr="00BC1FC7" w:rsidRDefault="009F24FA" w:rsidP="006E5177">
      <w:pPr>
        <w:spacing w:line="240" w:lineRule="auto"/>
        <w:jc w:val="both"/>
        <w:rPr>
          <w:rFonts w:ascii="Calibri" w:eastAsia="Times New Roman" w:hAnsi="Calibri" w:cs="Times New Roman"/>
          <w:color w:val="000000"/>
          <w:sz w:val="24"/>
          <w:szCs w:val="24"/>
          <w:lang w:val="sr-Cyrl-BA"/>
        </w:rPr>
      </w:pPr>
      <w:r>
        <w:rPr>
          <w:rFonts w:ascii="Calibri" w:eastAsia="Times New Roman" w:hAnsi="Calibri" w:cs="Times New Roman"/>
          <w:color w:val="000000"/>
          <w:sz w:val="24"/>
          <w:szCs w:val="24"/>
          <w:lang w:val="sr-Cyrl-BA"/>
        </w:rPr>
        <w:t xml:space="preserve">Стечајни управник поново </w:t>
      </w:r>
      <w:r w:rsidR="00BC1FC7">
        <w:rPr>
          <w:rFonts w:ascii="Calibri" w:eastAsia="Times New Roman" w:hAnsi="Calibri" w:cs="Times New Roman"/>
          <w:color w:val="000000"/>
          <w:sz w:val="24"/>
          <w:szCs w:val="24"/>
          <w:lang w:val="sr-Cyrl-BA"/>
        </w:rPr>
        <w:t>оглашава Позив за достављање понуде за израду процене вредности имовине, процене стечајног дужника као правног лица и давање мишљења о целисходности продаје стечајног дужника у односу на продају у деловима.</w:t>
      </w:r>
    </w:p>
    <w:p w:rsidR="00D904B9" w:rsidRPr="00566DD4" w:rsidRDefault="00D904B9" w:rsidP="00D904B9">
      <w:pPr>
        <w:numPr>
          <w:ilvl w:val="0"/>
          <w:numId w:val="2"/>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СВРХА ПРОЦЕНЕ</w:t>
      </w:r>
    </w:p>
    <w:p w:rsidR="009F24FA" w:rsidRPr="00B74F19" w:rsidRDefault="00D904B9" w:rsidP="00D904B9">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Сврха процене је да се утврди стратегија продаје у циљу остваривања највеће продајне вредности и максимално могућег колективног намирења поверилаца. Стечајни управник ће у складу са чланом 132. став 2. процену доставити суду, одбору поверилаца и сваком разлучном, односно заложном повериоцу који има разлучно односно заложно право на имовини која је предмет процене и продаје.  </w:t>
      </w:r>
    </w:p>
    <w:p w:rsidR="00D904B9" w:rsidRPr="00566DD4" w:rsidRDefault="00D904B9" w:rsidP="00D904B9">
      <w:pPr>
        <w:numPr>
          <w:ilvl w:val="0"/>
          <w:numId w:val="3"/>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ИЗВЕШТАЈ О ПРОЦЕНИ</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 xml:space="preserve">Проценитељ је дужан по завршетку процене да достави Извештај о процени у </w:t>
      </w:r>
      <w:r w:rsidR="0039424C">
        <w:rPr>
          <w:rFonts w:ascii="Calibri" w:eastAsia="Times New Roman" w:hAnsi="Calibri" w:cs="Times New Roman"/>
          <w:color w:val="000000"/>
          <w:sz w:val="24"/>
          <w:szCs w:val="24"/>
          <w:lang w:val="sr-Cyrl-BA"/>
        </w:rPr>
        <w:t>два</w:t>
      </w:r>
      <w:r w:rsidRPr="00566DD4">
        <w:rPr>
          <w:rFonts w:ascii="Calibri" w:eastAsia="Times New Roman" w:hAnsi="Calibri" w:cs="Times New Roman"/>
          <w:color w:val="000000"/>
          <w:sz w:val="24"/>
          <w:szCs w:val="24"/>
        </w:rPr>
        <w:t xml:space="preserve"> оригинална примерка у писаној и електронској форми која ће морати да садржи следеће:</w:t>
      </w:r>
    </w:p>
    <w:p w:rsidR="00D904B9" w:rsidRPr="00566DD4" w:rsidRDefault="00D904B9" w:rsidP="00D904B9">
      <w:pPr>
        <w:numPr>
          <w:ilvl w:val="0"/>
          <w:numId w:val="4"/>
        </w:numPr>
        <w:spacing w:after="0" w:line="240" w:lineRule="auto"/>
        <w:jc w:val="both"/>
        <w:textAlignment w:val="baseline"/>
        <w:rPr>
          <w:rFonts w:ascii="Arial" w:eastAsia="Times New Roman" w:hAnsi="Arial" w:cs="Arial"/>
          <w:color w:val="000000"/>
          <w:sz w:val="24"/>
          <w:szCs w:val="24"/>
        </w:rPr>
      </w:pPr>
      <w:r w:rsidRPr="00566DD4">
        <w:rPr>
          <w:rFonts w:ascii="Calibri" w:eastAsia="Times New Roman" w:hAnsi="Calibri" w:cs="Arial"/>
          <w:color w:val="000000"/>
          <w:sz w:val="24"/>
          <w:szCs w:val="24"/>
        </w:rPr>
        <w:lastRenderedPageBreak/>
        <w:t>Прецизно означен предмет процене, дефиницију вредности уз опис метода коришћења  у процени,</w:t>
      </w:r>
    </w:p>
    <w:p w:rsidR="00D904B9" w:rsidRPr="00566DD4" w:rsidRDefault="00D904B9" w:rsidP="00D904B9">
      <w:pPr>
        <w:numPr>
          <w:ilvl w:val="0"/>
          <w:numId w:val="4"/>
        </w:numPr>
        <w:spacing w:after="0" w:line="240" w:lineRule="auto"/>
        <w:jc w:val="both"/>
        <w:textAlignment w:val="baseline"/>
        <w:rPr>
          <w:rFonts w:ascii="Arial" w:eastAsia="Times New Roman" w:hAnsi="Arial" w:cs="Arial"/>
          <w:color w:val="000000"/>
          <w:sz w:val="24"/>
          <w:szCs w:val="24"/>
        </w:rPr>
      </w:pPr>
      <w:r w:rsidRPr="00566DD4">
        <w:rPr>
          <w:rFonts w:ascii="Calibri" w:eastAsia="Times New Roman" w:hAnsi="Calibri" w:cs="Arial"/>
          <w:color w:val="000000"/>
          <w:sz w:val="24"/>
          <w:szCs w:val="24"/>
        </w:rPr>
        <w:t>Закључак о процењеној ликвидационој вредности имовине стечајног дужника,</w:t>
      </w:r>
    </w:p>
    <w:p w:rsidR="00D904B9" w:rsidRPr="00566DD4" w:rsidRDefault="00D904B9" w:rsidP="00D904B9">
      <w:pPr>
        <w:numPr>
          <w:ilvl w:val="0"/>
          <w:numId w:val="4"/>
        </w:numPr>
        <w:spacing w:after="0" w:line="240" w:lineRule="auto"/>
        <w:jc w:val="both"/>
        <w:textAlignment w:val="baseline"/>
        <w:rPr>
          <w:rFonts w:ascii="Arial" w:eastAsia="Times New Roman" w:hAnsi="Arial" w:cs="Arial"/>
          <w:color w:val="000000"/>
          <w:sz w:val="24"/>
          <w:szCs w:val="24"/>
        </w:rPr>
      </w:pPr>
      <w:r w:rsidRPr="00566DD4">
        <w:rPr>
          <w:rFonts w:ascii="Calibri" w:eastAsia="Times New Roman" w:hAnsi="Calibri" w:cs="Arial"/>
          <w:color w:val="000000"/>
          <w:sz w:val="24"/>
          <w:szCs w:val="24"/>
        </w:rPr>
        <w:t>Закључак о процењеној вредности стечајног дужника као правног лица ,</w:t>
      </w:r>
    </w:p>
    <w:p w:rsidR="00D904B9" w:rsidRPr="00566DD4" w:rsidRDefault="00D904B9" w:rsidP="00D904B9">
      <w:pPr>
        <w:numPr>
          <w:ilvl w:val="0"/>
          <w:numId w:val="4"/>
        </w:numPr>
        <w:spacing w:after="0" w:line="240" w:lineRule="auto"/>
        <w:jc w:val="both"/>
        <w:textAlignment w:val="baseline"/>
        <w:rPr>
          <w:rFonts w:ascii="Arial" w:eastAsia="Times New Roman" w:hAnsi="Arial" w:cs="Arial"/>
          <w:color w:val="000000"/>
          <w:sz w:val="24"/>
          <w:szCs w:val="24"/>
        </w:rPr>
      </w:pPr>
      <w:r w:rsidRPr="00566DD4">
        <w:rPr>
          <w:rFonts w:ascii="Calibri" w:eastAsia="Times New Roman" w:hAnsi="Calibri" w:cs="Arial"/>
          <w:color w:val="000000"/>
          <w:sz w:val="24"/>
          <w:szCs w:val="24"/>
        </w:rPr>
        <w:t>Закључак о процењеној вредности имовине која је предмет разлучног права – одређивање одговарајућег дела купопродајне цене на којем разлучни поверилац има право приоритетног намирења у складу са чланом 133. став 12. Закона о стечају,</w:t>
      </w:r>
    </w:p>
    <w:p w:rsidR="009D5214" w:rsidRPr="00B74F19" w:rsidRDefault="00D904B9" w:rsidP="009D5214">
      <w:pPr>
        <w:numPr>
          <w:ilvl w:val="0"/>
          <w:numId w:val="4"/>
        </w:numPr>
        <w:spacing w:after="0" w:line="240" w:lineRule="auto"/>
        <w:jc w:val="both"/>
        <w:textAlignment w:val="baseline"/>
        <w:rPr>
          <w:rFonts w:ascii="Arial" w:eastAsia="Times New Roman" w:hAnsi="Arial" w:cs="Arial"/>
          <w:color w:val="000000"/>
          <w:sz w:val="24"/>
          <w:szCs w:val="24"/>
        </w:rPr>
      </w:pPr>
      <w:r w:rsidRPr="00566DD4">
        <w:rPr>
          <w:rFonts w:ascii="Calibri" w:eastAsia="Times New Roman" w:hAnsi="Calibri" w:cs="Arial"/>
          <w:color w:val="000000"/>
          <w:sz w:val="24"/>
          <w:szCs w:val="24"/>
        </w:rPr>
        <w:t>Закључак у вези целисходности најповољнијег начина продајe, мишљење проценитеља и предлог најповољнијег начина уновчења стечајне масе уз давање детаљног образложења.</w:t>
      </w:r>
    </w:p>
    <w:p w:rsidR="009D5214" w:rsidRPr="00526498" w:rsidRDefault="009D5214" w:rsidP="007F378E">
      <w:pPr>
        <w:spacing w:after="0" w:line="240" w:lineRule="auto"/>
        <w:jc w:val="both"/>
        <w:textAlignment w:val="baseline"/>
        <w:rPr>
          <w:rFonts w:ascii="Arial" w:eastAsia="Times New Roman" w:hAnsi="Arial" w:cs="Arial"/>
          <w:color w:val="000000"/>
          <w:sz w:val="24"/>
          <w:szCs w:val="24"/>
        </w:rPr>
      </w:pPr>
    </w:p>
    <w:p w:rsidR="00D904B9" w:rsidRPr="00566DD4" w:rsidRDefault="00D904B9" w:rsidP="00D904B9">
      <w:pPr>
        <w:numPr>
          <w:ilvl w:val="0"/>
          <w:numId w:val="5"/>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МЕТОД ПРОЦЕНЕ</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Метод процене је прописан Законом о стечају, Националним стандардом и МРС. Понуђачи су дужни да опишу методе које намеравају да користе у својој процени.</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У складу са Националним стандардом бр. 5  по којем утврђивање процењене вредности врши се у складу са Међународним стандардима финансијског извештавања.</w:t>
      </w:r>
    </w:p>
    <w:p w:rsidR="00D904B9" w:rsidRPr="00566DD4" w:rsidRDefault="00D904B9" w:rsidP="00D904B9">
      <w:pPr>
        <w:numPr>
          <w:ilvl w:val="0"/>
          <w:numId w:val="6"/>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ИНФОРМАЦИЈЕ ЗА ПОНУЂАЧЕ</w:t>
      </w:r>
    </w:p>
    <w:p w:rsidR="00113110" w:rsidRDefault="00D904B9" w:rsidP="0039424C">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Имовина стечајног дужника се састоји од</w:t>
      </w:r>
      <w:r w:rsidR="0081178E">
        <w:rPr>
          <w:rFonts w:ascii="Calibri" w:eastAsia="Times New Roman" w:hAnsi="Calibri" w:cs="Times New Roman"/>
          <w:color w:val="000000"/>
          <w:sz w:val="24"/>
          <w:szCs w:val="24"/>
          <w:lang w:val="sr-Cyrl-BA"/>
        </w:rPr>
        <w:t xml:space="preserve"> покретене имовине од које је</w:t>
      </w:r>
      <w:r w:rsidR="009F24FA">
        <w:rPr>
          <w:rFonts w:ascii="Calibri" w:eastAsia="Times New Roman" w:hAnsi="Calibri" w:cs="Times New Roman"/>
          <w:color w:val="000000"/>
          <w:sz w:val="24"/>
          <w:szCs w:val="24"/>
          <w:lang w:val="sr-Cyrl-BA"/>
        </w:rPr>
        <w:t xml:space="preserve"> највредниј</w:t>
      </w:r>
      <w:r w:rsidR="0081178E">
        <w:rPr>
          <w:rFonts w:ascii="Calibri" w:eastAsia="Times New Roman" w:hAnsi="Calibri" w:cs="Times New Roman"/>
          <w:color w:val="000000"/>
          <w:sz w:val="24"/>
          <w:szCs w:val="24"/>
          <w:lang w:val="sr-Cyrl-BA"/>
        </w:rPr>
        <w:t>а следећа покретна имовина</w:t>
      </w:r>
      <w:r w:rsidR="009F24FA">
        <w:rPr>
          <w:rFonts w:ascii="Calibri" w:eastAsia="Times New Roman" w:hAnsi="Calibri" w:cs="Times New Roman"/>
          <w:color w:val="000000"/>
          <w:sz w:val="24"/>
          <w:szCs w:val="24"/>
          <w:lang w:val="sr-Cyrl-BA"/>
        </w:rPr>
        <w:t xml:space="preserve"> </w:t>
      </w:r>
      <w:r w:rsidRPr="00566DD4">
        <w:rPr>
          <w:rFonts w:ascii="Calibri" w:eastAsia="Times New Roman" w:hAnsi="Calibri" w:cs="Times New Roman"/>
          <w:color w:val="000000"/>
          <w:sz w:val="24"/>
          <w:szCs w:val="24"/>
        </w:rPr>
        <w:t>:</w:t>
      </w:r>
    </w:p>
    <w:p w:rsidR="0081178E" w:rsidRPr="00B74F19" w:rsidRDefault="0081178E"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sidRPr="0081178E">
        <w:rPr>
          <w:rFonts w:eastAsia="Times New Roman" w:cstheme="minorHAnsi"/>
          <w:sz w:val="24"/>
          <w:szCs w:val="24"/>
          <w:lang w:val="sr-Cyrl-BA"/>
        </w:rPr>
        <w:t>Виљушкар</w:t>
      </w:r>
      <w:r>
        <w:rPr>
          <w:rFonts w:ascii="Calibri" w:eastAsia="Times New Roman" w:hAnsi="Calibri" w:cs="Times New Roman"/>
          <w:color w:val="000000"/>
          <w:sz w:val="24"/>
          <w:szCs w:val="24"/>
          <w:lang w:val="sr-Cyrl-BA"/>
        </w:rPr>
        <w:t xml:space="preserve"> линде Х20Т03</w:t>
      </w:r>
    </w:p>
    <w:p w:rsidR="00B74F19" w:rsidRPr="0081178E" w:rsidRDefault="00B74F19"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Виљушкар линде са пуњачем</w:t>
      </w:r>
    </w:p>
    <w:p w:rsidR="0081178E" w:rsidRPr="0081178E" w:rsidRDefault="0081178E"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Преса</w:t>
      </w:r>
    </w:p>
    <w:p w:rsidR="0081178E" w:rsidRPr="0081178E" w:rsidRDefault="0081178E"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Компресор Боге Ц10Лр</w:t>
      </w:r>
    </w:p>
    <w:p w:rsidR="00B74F19" w:rsidRPr="00B74F19" w:rsidRDefault="0081178E"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ИПЦ контејнер</w:t>
      </w:r>
    </w:p>
    <w:p w:rsidR="00B74F19" w:rsidRPr="00B74F19" w:rsidRDefault="00B74F19"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Резервоар запремине 100л</w:t>
      </w:r>
    </w:p>
    <w:p w:rsidR="00B74F19" w:rsidRPr="00B74F19" w:rsidRDefault="00B74F19" w:rsidP="0081178E">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Хладњак</w:t>
      </w:r>
    </w:p>
    <w:p w:rsidR="00B74F19" w:rsidRDefault="00B74F19" w:rsidP="00B74F19">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Pr>
          <w:rFonts w:eastAsia="Times New Roman" w:cstheme="minorHAnsi"/>
          <w:sz w:val="24"/>
          <w:szCs w:val="24"/>
          <w:lang w:val="sr-Cyrl-BA"/>
        </w:rPr>
        <w:t>Бакарни казан</w:t>
      </w:r>
      <w:r w:rsidR="0081178E" w:rsidRPr="0081178E">
        <w:rPr>
          <w:rFonts w:ascii="Calibri" w:eastAsia="Times New Roman" w:hAnsi="Calibri" w:cs="Times New Roman"/>
          <w:color w:val="000000"/>
          <w:sz w:val="24"/>
          <w:szCs w:val="24"/>
          <w:u w:val="single"/>
          <w:lang w:val="sr-Cyrl-BA"/>
        </w:rPr>
        <w:t xml:space="preserve"> </w:t>
      </w:r>
    </w:p>
    <w:p w:rsidR="00281EF7" w:rsidRPr="00B74F19" w:rsidRDefault="00B74F19" w:rsidP="00B74F19">
      <w:pPr>
        <w:pStyle w:val="ListParagraph"/>
        <w:numPr>
          <w:ilvl w:val="0"/>
          <w:numId w:val="17"/>
        </w:numPr>
        <w:spacing w:line="240" w:lineRule="auto"/>
        <w:jc w:val="both"/>
        <w:rPr>
          <w:rFonts w:ascii="Calibri" w:eastAsia="Times New Roman" w:hAnsi="Calibri" w:cs="Times New Roman"/>
          <w:color w:val="000000"/>
          <w:sz w:val="24"/>
          <w:szCs w:val="24"/>
          <w:u w:val="single"/>
          <w:lang w:val="sr-Cyrl-BA"/>
        </w:rPr>
      </w:pPr>
      <w:r w:rsidRPr="00B74F19">
        <w:rPr>
          <w:rFonts w:ascii="Calibri" w:eastAsia="Times New Roman" w:hAnsi="Calibri" w:cs="Times New Roman"/>
          <w:color w:val="000000"/>
          <w:sz w:val="24"/>
          <w:szCs w:val="24"/>
          <w:lang w:val="sr-Cyrl-BA"/>
        </w:rPr>
        <w:t xml:space="preserve">и друга покретна имовина </w:t>
      </w:r>
      <w:r w:rsidR="0081178E" w:rsidRPr="00B74F19">
        <w:rPr>
          <w:rFonts w:ascii="Calibri" w:eastAsia="Times New Roman" w:hAnsi="Calibri" w:cs="Times New Roman"/>
          <w:color w:val="000000"/>
          <w:sz w:val="24"/>
          <w:szCs w:val="24"/>
          <w:lang w:val="sr-Cyrl-BA"/>
        </w:rPr>
        <w:t>- опрема</w:t>
      </w:r>
      <w:r w:rsidR="009D5214" w:rsidRPr="00B74F19">
        <w:rPr>
          <w:rFonts w:ascii="Calibri" w:eastAsia="Times New Roman" w:hAnsi="Calibri" w:cs="Times New Roman"/>
          <w:color w:val="000000"/>
          <w:sz w:val="24"/>
          <w:szCs w:val="24"/>
          <w:lang w:val="sr-Cyrl-BA"/>
        </w:rPr>
        <w:t xml:space="preserve"> </w:t>
      </w:r>
      <w:r w:rsidRPr="00B74F19">
        <w:rPr>
          <w:rFonts w:ascii="Calibri" w:eastAsia="Times New Roman" w:hAnsi="Calibri" w:cs="Times New Roman"/>
          <w:color w:val="000000"/>
          <w:sz w:val="24"/>
          <w:szCs w:val="24"/>
          <w:lang w:val="sr-Cyrl-BA"/>
        </w:rPr>
        <w:t xml:space="preserve">која </w:t>
      </w:r>
      <w:r w:rsidR="0081178E" w:rsidRPr="00B74F19">
        <w:rPr>
          <w:rFonts w:ascii="Calibri" w:eastAsia="Times New Roman" w:hAnsi="Calibri" w:cs="Times New Roman"/>
          <w:color w:val="000000"/>
          <w:sz w:val="24"/>
          <w:szCs w:val="24"/>
          <w:lang w:val="sr-Cyrl-BA"/>
        </w:rPr>
        <w:t xml:space="preserve">је </w:t>
      </w:r>
      <w:r w:rsidRPr="00B74F19">
        <w:rPr>
          <w:rFonts w:ascii="Calibri" w:eastAsia="Times New Roman" w:hAnsi="Calibri" w:cs="Times New Roman"/>
          <w:color w:val="000000"/>
          <w:sz w:val="24"/>
          <w:szCs w:val="24"/>
          <w:lang w:val="sr-Cyrl-BA"/>
        </w:rPr>
        <w:t xml:space="preserve">детаљно </w:t>
      </w:r>
      <w:r w:rsidR="0081178E" w:rsidRPr="00B74F19">
        <w:rPr>
          <w:rFonts w:ascii="Calibri" w:eastAsia="Times New Roman" w:hAnsi="Calibri" w:cs="Times New Roman"/>
          <w:color w:val="000000"/>
          <w:sz w:val="24"/>
          <w:szCs w:val="24"/>
          <w:lang w:val="sr-Cyrl-BA"/>
        </w:rPr>
        <w:t>набројана</w:t>
      </w:r>
      <w:r w:rsidR="009D5214" w:rsidRPr="00B74F19">
        <w:rPr>
          <w:rFonts w:ascii="Calibri" w:eastAsia="Times New Roman" w:hAnsi="Calibri" w:cs="Times New Roman"/>
          <w:color w:val="000000"/>
          <w:sz w:val="24"/>
          <w:szCs w:val="24"/>
          <w:lang w:val="sr-Cyrl-BA"/>
        </w:rPr>
        <w:t xml:space="preserve"> у Економско финансијском извештају стечајног дужника</w:t>
      </w:r>
      <w:r w:rsidR="00215DE6" w:rsidRPr="00B74F19">
        <w:rPr>
          <w:rFonts w:ascii="Calibri" w:eastAsia="Times New Roman" w:hAnsi="Calibri" w:cs="Times New Roman"/>
          <w:color w:val="000000"/>
          <w:sz w:val="24"/>
          <w:szCs w:val="24"/>
          <w:lang w:val="sr-Cyrl-BA"/>
        </w:rPr>
        <w:t>.</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Заинтересовани понуђачи писане понуде подносе најкасније до</w:t>
      </w:r>
      <w:r w:rsidR="00514623" w:rsidRPr="00566DD4">
        <w:rPr>
          <w:rFonts w:ascii="Calibri" w:eastAsia="Times New Roman" w:hAnsi="Calibri" w:cs="Times New Roman"/>
          <w:color w:val="000000"/>
          <w:sz w:val="24"/>
          <w:szCs w:val="24"/>
        </w:rPr>
        <w:t xml:space="preserve"> </w:t>
      </w:r>
      <w:r w:rsidR="00BC1FC7">
        <w:rPr>
          <w:rFonts w:ascii="Calibri" w:eastAsia="Times New Roman" w:hAnsi="Calibri" w:cs="Times New Roman"/>
          <w:color w:val="000000"/>
          <w:sz w:val="24"/>
          <w:szCs w:val="24"/>
          <w:lang w:val="sr-Cyrl-BA"/>
        </w:rPr>
        <w:t>2</w:t>
      </w:r>
      <w:r w:rsidR="00B74F19">
        <w:rPr>
          <w:rFonts w:ascii="Calibri" w:eastAsia="Times New Roman" w:hAnsi="Calibri" w:cs="Times New Roman"/>
          <w:color w:val="000000"/>
          <w:sz w:val="24"/>
          <w:szCs w:val="24"/>
          <w:lang w:val="sr-Cyrl-BA"/>
        </w:rPr>
        <w:t>5</w:t>
      </w:r>
      <w:r w:rsidR="00514623" w:rsidRPr="00566DD4">
        <w:rPr>
          <w:rFonts w:ascii="Calibri" w:eastAsia="Times New Roman" w:hAnsi="Calibri" w:cs="Times New Roman"/>
          <w:color w:val="000000"/>
          <w:sz w:val="24"/>
          <w:szCs w:val="24"/>
        </w:rPr>
        <w:t>.</w:t>
      </w:r>
      <w:r w:rsidR="00BC1FC7">
        <w:rPr>
          <w:rFonts w:ascii="Calibri" w:eastAsia="Times New Roman" w:hAnsi="Calibri" w:cs="Times New Roman"/>
          <w:color w:val="000000"/>
          <w:sz w:val="24"/>
          <w:szCs w:val="24"/>
          <w:lang w:val="sr-Cyrl-BA"/>
        </w:rPr>
        <w:t>10</w:t>
      </w:r>
      <w:r w:rsidR="00566DD4" w:rsidRPr="00566DD4">
        <w:rPr>
          <w:rFonts w:ascii="Calibri" w:eastAsia="Times New Roman" w:hAnsi="Calibri" w:cs="Times New Roman"/>
          <w:color w:val="000000"/>
          <w:sz w:val="24"/>
          <w:szCs w:val="24"/>
        </w:rPr>
        <w:t>.2021</w:t>
      </w:r>
      <w:r w:rsidR="00514623" w:rsidRPr="00566DD4">
        <w:rPr>
          <w:rFonts w:ascii="Calibri" w:eastAsia="Times New Roman" w:hAnsi="Calibri" w:cs="Times New Roman"/>
          <w:color w:val="000000"/>
          <w:sz w:val="24"/>
          <w:szCs w:val="24"/>
        </w:rPr>
        <w:t xml:space="preserve">. </w:t>
      </w:r>
      <w:r w:rsidRPr="00566DD4">
        <w:rPr>
          <w:rFonts w:ascii="Calibri" w:eastAsia="Times New Roman" w:hAnsi="Calibri" w:cs="Times New Roman"/>
          <w:color w:val="000000"/>
          <w:sz w:val="24"/>
          <w:szCs w:val="24"/>
        </w:rPr>
        <w:t>године на адресу канцеларије стечајног управника – Ул. Краља Петра I, бр. 13 Сремска Митровица. </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 xml:space="preserve">Понуде доставити у два примерка у затвореној коверти са назнаком ПРУЖАЊЕ УСЛУГА ПРОЦЕНЕ ВРЕДНОСТИ ИМОВИНЕ СТЕЧАЈНОГ ДУЖНИКА – </w:t>
      </w:r>
      <w:r w:rsidR="00215DE6" w:rsidRPr="00566DD4">
        <w:rPr>
          <w:rFonts w:ascii="Calibri" w:eastAsia="Times New Roman" w:hAnsi="Calibri" w:cs="Times New Roman"/>
          <w:color w:val="000000"/>
          <w:sz w:val="24"/>
          <w:szCs w:val="24"/>
        </w:rPr>
        <w:t>“</w:t>
      </w:r>
      <w:r w:rsidR="00215DE6">
        <w:rPr>
          <w:rFonts w:ascii="Calibri" w:eastAsia="Times New Roman" w:hAnsi="Calibri" w:cs="Times New Roman"/>
          <w:color w:val="000000"/>
          <w:sz w:val="24"/>
          <w:szCs w:val="24"/>
        </w:rPr>
        <w:t>AGROPROM COM</w:t>
      </w:r>
      <w:r w:rsidR="00215DE6" w:rsidRPr="00566DD4">
        <w:rPr>
          <w:rFonts w:ascii="Calibri" w:eastAsia="Times New Roman" w:hAnsi="Calibri" w:cs="Times New Roman"/>
          <w:color w:val="000000"/>
          <w:sz w:val="24"/>
          <w:szCs w:val="24"/>
        </w:rPr>
        <w:t xml:space="preserve">” </w:t>
      </w:r>
      <w:r w:rsidR="00215DE6">
        <w:rPr>
          <w:rFonts w:ascii="Calibri" w:eastAsia="Times New Roman" w:hAnsi="Calibri" w:cs="Times New Roman"/>
          <w:color w:val="000000"/>
          <w:sz w:val="24"/>
          <w:szCs w:val="24"/>
        </w:rPr>
        <w:t>doo u stečaju.</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Понуђач уз понуду доставља фотокопију докумената која не смеју бити старија од 12 месеци од дана пријема понуде. Наручиоци задржавају право да захтевају од Понуђача накнадно достављање на увид оригиналне документације. Понуда треба да садржи:</w:t>
      </w:r>
    </w:p>
    <w:p w:rsidR="00D904B9" w:rsidRPr="00566DD4" w:rsidRDefault="00D904B9" w:rsidP="00D904B9">
      <w:pPr>
        <w:numPr>
          <w:ilvl w:val="0"/>
          <w:numId w:val="12"/>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Доказе о испуњености услова из тачке 6. овог огласа</w:t>
      </w:r>
    </w:p>
    <w:p w:rsidR="00D904B9" w:rsidRPr="00566DD4" w:rsidRDefault="00D904B9" w:rsidP="00D904B9">
      <w:pPr>
        <w:numPr>
          <w:ilvl w:val="0"/>
          <w:numId w:val="12"/>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lastRenderedPageBreak/>
        <w:t>Имена чланова ужег тима који ће радити процену са задужењима и референцама</w:t>
      </w:r>
    </w:p>
    <w:p w:rsidR="00D904B9" w:rsidRPr="00566DD4" w:rsidRDefault="00D904B9" w:rsidP="00D904B9">
      <w:pPr>
        <w:numPr>
          <w:ilvl w:val="0"/>
          <w:numId w:val="12"/>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Рок у којем ће завршити процену </w:t>
      </w:r>
    </w:p>
    <w:p w:rsidR="00D904B9" w:rsidRPr="00566DD4" w:rsidRDefault="00D904B9" w:rsidP="00D904B9">
      <w:pPr>
        <w:numPr>
          <w:ilvl w:val="0"/>
          <w:numId w:val="12"/>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Цену за пружену услугу исказану у динарима</w:t>
      </w:r>
    </w:p>
    <w:p w:rsidR="00D904B9" w:rsidRPr="00566DD4" w:rsidRDefault="00D904B9" w:rsidP="00D904B9">
      <w:pPr>
        <w:numPr>
          <w:ilvl w:val="0"/>
          <w:numId w:val="12"/>
        </w:numPr>
        <w:spacing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Рок за исплату накнаде за извршену услугу</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Уз понуду доставити:</w:t>
      </w:r>
    </w:p>
    <w:p w:rsidR="00D904B9" w:rsidRPr="00566DD4" w:rsidRDefault="000F24FF" w:rsidP="00D904B9">
      <w:pPr>
        <w:numPr>
          <w:ilvl w:val="0"/>
          <w:numId w:val="13"/>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 xml:space="preserve">Лиценцу овлашћеног проценитеља, решење </w:t>
      </w:r>
      <w:r w:rsidR="00D904B9" w:rsidRPr="00566DD4">
        <w:rPr>
          <w:rFonts w:ascii="Calibri" w:eastAsia="Times New Roman" w:hAnsi="Calibri" w:cs="Times New Roman"/>
          <w:color w:val="000000"/>
          <w:sz w:val="24"/>
          <w:szCs w:val="24"/>
        </w:rPr>
        <w:t>АПР-а</w:t>
      </w:r>
    </w:p>
    <w:p w:rsidR="00D904B9" w:rsidRPr="00566DD4" w:rsidRDefault="00D904B9" w:rsidP="00D904B9">
      <w:pPr>
        <w:numPr>
          <w:ilvl w:val="0"/>
          <w:numId w:val="13"/>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Доказе о стручности</w:t>
      </w:r>
    </w:p>
    <w:p w:rsidR="00D904B9" w:rsidRPr="00566DD4" w:rsidRDefault="00D904B9" w:rsidP="00D904B9">
      <w:pPr>
        <w:numPr>
          <w:ilvl w:val="0"/>
          <w:numId w:val="13"/>
        </w:numPr>
        <w:spacing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Референце досадашњег рада</w:t>
      </w:r>
    </w:p>
    <w:p w:rsidR="007E1500" w:rsidRDefault="00D904B9" w:rsidP="00D904B9">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 xml:space="preserve">Позивају се заинтересована лица да директним обиласком на лицу места утврде елементе за опредељеност понуде. </w:t>
      </w:r>
    </w:p>
    <w:p w:rsidR="00D904B9" w:rsidRPr="007E1500" w:rsidRDefault="00D904B9" w:rsidP="00D904B9">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У с</w:t>
      </w:r>
      <w:r w:rsidR="000F24FF" w:rsidRPr="00566DD4">
        <w:rPr>
          <w:rFonts w:ascii="Calibri" w:eastAsia="Times New Roman" w:hAnsi="Calibri" w:cs="Times New Roman"/>
          <w:color w:val="000000"/>
          <w:sz w:val="24"/>
          <w:szCs w:val="24"/>
        </w:rPr>
        <w:t xml:space="preserve">лучају потребе </w:t>
      </w:r>
      <w:r w:rsidR="007E1500">
        <w:rPr>
          <w:rFonts w:ascii="Calibri" w:eastAsia="Times New Roman" w:hAnsi="Calibri" w:cs="Times New Roman"/>
          <w:color w:val="000000"/>
          <w:sz w:val="24"/>
          <w:szCs w:val="24"/>
        </w:rPr>
        <w:t>додатних података</w:t>
      </w:r>
      <w:r w:rsidR="000F24FF" w:rsidRPr="00566DD4">
        <w:rPr>
          <w:rFonts w:ascii="Calibri" w:eastAsia="Times New Roman" w:hAnsi="Calibri" w:cs="Times New Roman"/>
          <w:color w:val="000000"/>
          <w:sz w:val="24"/>
          <w:szCs w:val="24"/>
        </w:rPr>
        <w:t>, доставе документације</w:t>
      </w:r>
      <w:r w:rsidR="007E1500">
        <w:rPr>
          <w:rFonts w:ascii="Calibri" w:eastAsia="Times New Roman" w:hAnsi="Calibri" w:cs="Times New Roman"/>
          <w:color w:val="000000"/>
          <w:sz w:val="24"/>
          <w:szCs w:val="24"/>
        </w:rPr>
        <w:t xml:space="preserve"> о имовини стечајног дужника</w:t>
      </w:r>
      <w:r w:rsidR="000F24FF" w:rsidRPr="00566DD4">
        <w:rPr>
          <w:rFonts w:ascii="Calibri" w:eastAsia="Times New Roman" w:hAnsi="Calibri" w:cs="Times New Roman"/>
          <w:color w:val="000000"/>
          <w:sz w:val="24"/>
          <w:szCs w:val="24"/>
        </w:rPr>
        <w:t>,</w:t>
      </w:r>
      <w:r w:rsidRPr="00566DD4">
        <w:rPr>
          <w:rFonts w:ascii="Calibri" w:eastAsia="Times New Roman" w:hAnsi="Calibri" w:cs="Times New Roman"/>
          <w:color w:val="000000"/>
          <w:sz w:val="24"/>
          <w:szCs w:val="24"/>
        </w:rPr>
        <w:t xml:space="preserve"> за опредељеност понуде заинтересована лица могу се јавити стечајном управнику </w:t>
      </w:r>
      <w:r w:rsidR="00566DD4" w:rsidRPr="00566DD4">
        <w:rPr>
          <w:rFonts w:ascii="Calibri" w:eastAsia="Times New Roman" w:hAnsi="Calibri" w:cs="Times New Roman"/>
          <w:color w:val="000000"/>
          <w:sz w:val="24"/>
          <w:szCs w:val="24"/>
        </w:rPr>
        <w:t>Зорану Стојановић</w:t>
      </w:r>
      <w:r w:rsidRPr="00566DD4">
        <w:rPr>
          <w:rFonts w:ascii="Calibri" w:eastAsia="Times New Roman" w:hAnsi="Calibri" w:cs="Times New Roman"/>
          <w:color w:val="000000"/>
          <w:sz w:val="24"/>
          <w:szCs w:val="24"/>
        </w:rPr>
        <w:t xml:space="preserve">, тел: </w:t>
      </w:r>
      <w:r w:rsidR="00566DD4" w:rsidRPr="00566DD4">
        <w:rPr>
          <w:rFonts w:ascii="Calibri" w:eastAsia="Times New Roman" w:hAnsi="Calibri" w:cs="Times New Roman"/>
          <w:color w:val="000000"/>
          <w:sz w:val="24"/>
          <w:szCs w:val="24"/>
        </w:rPr>
        <w:t xml:space="preserve">063/8-555-288, </w:t>
      </w:r>
      <w:r w:rsidRPr="00566DD4">
        <w:rPr>
          <w:rFonts w:ascii="Calibri" w:eastAsia="Times New Roman" w:hAnsi="Calibri" w:cs="Times New Roman"/>
          <w:color w:val="000000"/>
          <w:sz w:val="24"/>
          <w:szCs w:val="24"/>
        </w:rPr>
        <w:t>065/572-9-573,</w:t>
      </w:r>
      <w:r w:rsidR="00514623" w:rsidRPr="00566DD4">
        <w:rPr>
          <w:rFonts w:ascii="Calibri" w:eastAsia="Times New Roman" w:hAnsi="Calibri" w:cs="Times New Roman"/>
          <w:color w:val="000000"/>
          <w:sz w:val="24"/>
          <w:szCs w:val="24"/>
        </w:rPr>
        <w:t xml:space="preserve"> </w:t>
      </w:r>
      <w:r w:rsidR="007E1500">
        <w:rPr>
          <w:rFonts w:ascii="Calibri" w:eastAsia="Times New Roman" w:hAnsi="Calibri" w:cs="Times New Roman"/>
          <w:color w:val="000000"/>
          <w:sz w:val="24"/>
          <w:szCs w:val="24"/>
        </w:rPr>
        <w:t>или путем</w:t>
      </w:r>
      <w:r w:rsidR="00514623" w:rsidRPr="00566DD4">
        <w:rPr>
          <w:rFonts w:ascii="Calibri" w:eastAsia="Times New Roman" w:hAnsi="Calibri" w:cs="Times New Roman"/>
          <w:color w:val="000000"/>
          <w:sz w:val="24"/>
          <w:szCs w:val="24"/>
        </w:rPr>
        <w:t xml:space="preserve"> e–</w:t>
      </w:r>
      <w:r w:rsidRPr="00566DD4">
        <w:rPr>
          <w:rFonts w:ascii="Calibri" w:eastAsia="Times New Roman" w:hAnsi="Calibri" w:cs="Times New Roman"/>
          <w:color w:val="000000"/>
          <w:sz w:val="24"/>
          <w:szCs w:val="24"/>
        </w:rPr>
        <w:t>mail:</w:t>
      </w:r>
      <w:r w:rsidR="00566DD4" w:rsidRPr="00566DD4">
        <w:rPr>
          <w:rFonts w:ascii="Calibri" w:eastAsia="Times New Roman" w:hAnsi="Calibri" w:cs="Times New Roman"/>
          <w:color w:val="000000"/>
          <w:sz w:val="24"/>
          <w:szCs w:val="24"/>
        </w:rPr>
        <w:t xml:space="preserve"> stole@open.telekom.rs</w:t>
      </w:r>
      <w:r w:rsidRPr="00566DD4">
        <w:rPr>
          <w:rFonts w:ascii="Calibri" w:eastAsia="Times New Roman" w:hAnsi="Calibri" w:cs="Times New Roman"/>
          <w:color w:val="000000"/>
          <w:sz w:val="24"/>
          <w:szCs w:val="24"/>
        </w:rPr>
        <w:t xml:space="preserve"> </w:t>
      </w:r>
      <w:r w:rsidR="00566DD4" w:rsidRPr="00566DD4">
        <w:rPr>
          <w:rFonts w:ascii="Calibri" w:eastAsia="Times New Roman" w:hAnsi="Calibri" w:cs="Times New Roman"/>
          <w:color w:val="000000"/>
          <w:sz w:val="24"/>
          <w:szCs w:val="24"/>
        </w:rPr>
        <w:t xml:space="preserve">или </w:t>
      </w:r>
      <w:r w:rsidRPr="00566DD4">
        <w:rPr>
          <w:rFonts w:ascii="Calibri" w:eastAsia="Times New Roman" w:hAnsi="Calibri" w:cs="Times New Roman"/>
          <w:color w:val="000000"/>
          <w:sz w:val="24"/>
          <w:szCs w:val="24"/>
        </w:rPr>
        <w:t xml:space="preserve">јеzdicjadranka@gmail.com </w:t>
      </w:r>
      <w:r w:rsidR="00514623" w:rsidRPr="00566DD4">
        <w:rPr>
          <w:rFonts w:ascii="Calibri" w:eastAsia="Times New Roman" w:hAnsi="Calibri" w:cs="Times New Roman"/>
          <w:color w:val="000000"/>
          <w:sz w:val="24"/>
          <w:szCs w:val="24"/>
        </w:rPr>
        <w:t xml:space="preserve">, </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У складу са Националним стандардом бр. 5 о начину и поступку уновчења имовине стечајног дужника о избору понуђача одлучује Одбор поверилаца стечајног дужника, узимајући осим финансијске понуде у обзир и стручност, референце и друге елементе понуде који су од значаја за вршење конкретне процене,  и то искључиво са Листе понуђача добијене од стечајног упавника. У случају да Одбор не донесе одлуку у року од 8 дана од дана истека рока за достављање понуде, избор понуђача врши стечајни управник, применом истих критеријума. </w:t>
      </w:r>
    </w:p>
    <w:p w:rsidR="00B74F19" w:rsidRPr="00B74F19" w:rsidRDefault="00D904B9" w:rsidP="00D904B9">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Након донете одлуке о избору најбољег понуђача биће обавештени сви понуђачи. Наручилац задржава право да по пријему свих понуда донесе Одлуку да ниједног понуђача не изабере, о чему ће се понуђачима доставити писмено обавештење. Цена није једини критеријум приликом одабира проценитеља. </w:t>
      </w:r>
    </w:p>
    <w:p w:rsidR="00D904B9" w:rsidRPr="00566DD4" w:rsidRDefault="00D904B9" w:rsidP="000F24FF">
      <w:pPr>
        <w:pStyle w:val="ListParagraph"/>
        <w:numPr>
          <w:ilvl w:val="1"/>
          <w:numId w:val="12"/>
        </w:numPr>
        <w:spacing w:line="240" w:lineRule="auto"/>
        <w:jc w:val="both"/>
        <w:textAlignment w:val="baseline"/>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УСЛОВИ КОНКУРИСАЊА</w:t>
      </w:r>
    </w:p>
    <w:p w:rsidR="00D904B9" w:rsidRPr="00566DD4" w:rsidRDefault="00D904B9" w:rsidP="00D904B9">
      <w:pPr>
        <w:spacing w:line="240" w:lineRule="auto"/>
        <w:jc w:val="both"/>
        <w:rPr>
          <w:rFonts w:ascii="Times New Roman" w:eastAsia="Times New Roman" w:hAnsi="Times New Roman" w:cs="Times New Roman"/>
          <w:sz w:val="24"/>
          <w:szCs w:val="24"/>
        </w:rPr>
      </w:pPr>
      <w:r w:rsidRPr="00566DD4">
        <w:rPr>
          <w:rFonts w:ascii="Calibri" w:eastAsia="Times New Roman" w:hAnsi="Calibri" w:cs="Times New Roman"/>
          <w:color w:val="000000"/>
          <w:sz w:val="24"/>
          <w:szCs w:val="24"/>
        </w:rPr>
        <w:t>Понуду за учествовање могу поднети сви понуђачи који испуњавају услове у смислу квалификационих захтева, утврђених од стране наручиоца, и то:</w:t>
      </w:r>
    </w:p>
    <w:p w:rsidR="00D904B9" w:rsidRPr="00566DD4" w:rsidRDefault="00D904B9" w:rsidP="00D904B9">
      <w:pPr>
        <w:numPr>
          <w:ilvl w:val="0"/>
          <w:numId w:val="15"/>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Да је регистрован за обављање делатности код надлежног органа,</w:t>
      </w:r>
    </w:p>
    <w:p w:rsidR="00D904B9" w:rsidRPr="00566DD4" w:rsidRDefault="00D904B9" w:rsidP="00D904B9">
      <w:pPr>
        <w:numPr>
          <w:ilvl w:val="0"/>
          <w:numId w:val="15"/>
        </w:numPr>
        <w:spacing w:after="0"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Да поседује лиценцу за обављање послова овлашћеног проценитеља</w:t>
      </w:r>
    </w:p>
    <w:p w:rsidR="00D904B9" w:rsidRPr="00566DD4" w:rsidRDefault="00D904B9" w:rsidP="00D904B9">
      <w:pPr>
        <w:numPr>
          <w:ilvl w:val="0"/>
          <w:numId w:val="15"/>
        </w:numPr>
        <w:spacing w:line="240" w:lineRule="auto"/>
        <w:jc w:val="both"/>
        <w:textAlignment w:val="baseline"/>
        <w:rPr>
          <w:rFonts w:ascii="Times New Roman" w:eastAsia="Times New Roman" w:hAnsi="Times New Roman" w:cs="Times New Roman"/>
          <w:color w:val="000000"/>
          <w:sz w:val="24"/>
          <w:szCs w:val="24"/>
        </w:rPr>
      </w:pPr>
      <w:r w:rsidRPr="00566DD4">
        <w:rPr>
          <w:rFonts w:ascii="Calibri" w:eastAsia="Times New Roman" w:hAnsi="Calibri" w:cs="Times New Roman"/>
          <w:color w:val="000000"/>
          <w:sz w:val="24"/>
          <w:szCs w:val="24"/>
        </w:rPr>
        <w:t>Да испуњава квалификационе услове, односно да располаже довољним кадровским и техничким капацитетом за вршење услуге из понуде.</w:t>
      </w:r>
    </w:p>
    <w:p w:rsidR="00B74F19" w:rsidRPr="00B74F19" w:rsidRDefault="00D904B9" w:rsidP="00B74F19">
      <w:pPr>
        <w:spacing w:line="240" w:lineRule="auto"/>
        <w:jc w:val="both"/>
        <w:rPr>
          <w:rFonts w:ascii="Calibri" w:eastAsia="Times New Roman" w:hAnsi="Calibri" w:cs="Times New Roman"/>
          <w:color w:val="000000"/>
          <w:sz w:val="24"/>
          <w:szCs w:val="24"/>
        </w:rPr>
      </w:pPr>
      <w:r w:rsidRPr="00566DD4">
        <w:rPr>
          <w:rFonts w:ascii="Calibri" w:eastAsia="Times New Roman" w:hAnsi="Calibri" w:cs="Times New Roman"/>
          <w:color w:val="000000"/>
          <w:sz w:val="24"/>
          <w:szCs w:val="24"/>
        </w:rPr>
        <w:t>У случају одустанка од поступка набавке, наручилац неће бити одговоран ни на који начин за стварну штету, изгубљену добит или било какву другу штету коју понуђач може услед тога да претрпи.</w:t>
      </w:r>
    </w:p>
    <w:p w:rsidR="00D904B9" w:rsidRPr="00B74F19" w:rsidRDefault="00D904B9" w:rsidP="00B74F19">
      <w:pPr>
        <w:spacing w:after="0" w:line="240" w:lineRule="auto"/>
        <w:jc w:val="right"/>
        <w:rPr>
          <w:rFonts w:ascii="Times New Roman" w:eastAsia="Times New Roman" w:hAnsi="Times New Roman" w:cs="Times New Roman"/>
          <w:sz w:val="24"/>
          <w:szCs w:val="24"/>
          <w:lang w:val="sr-Cyrl-BA"/>
        </w:rPr>
      </w:pPr>
      <w:r w:rsidRPr="00566DD4">
        <w:rPr>
          <w:rFonts w:ascii="Calibri" w:eastAsia="Times New Roman" w:hAnsi="Calibri" w:cs="Times New Roman"/>
          <w:color w:val="000000"/>
          <w:sz w:val="24"/>
          <w:szCs w:val="24"/>
        </w:rPr>
        <w:t>Стечајни управник</w:t>
      </w:r>
      <w:r w:rsidR="00B74F19">
        <w:rPr>
          <w:rFonts w:ascii="Calibri" w:eastAsia="Times New Roman" w:hAnsi="Calibri" w:cs="Times New Roman"/>
          <w:color w:val="000000"/>
          <w:sz w:val="24"/>
          <w:szCs w:val="24"/>
          <w:lang w:val="sr-Cyrl-BA"/>
        </w:rPr>
        <w:t xml:space="preserve"> Зоран Стојановић</w:t>
      </w:r>
    </w:p>
    <w:p w:rsidR="00D07B3C" w:rsidRDefault="00D07B3C"/>
    <w:sectPr w:rsidR="00D07B3C" w:rsidSect="004570B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BA8" w:rsidRDefault="000E4BA8" w:rsidP="00B74F19">
      <w:pPr>
        <w:spacing w:after="0" w:line="240" w:lineRule="auto"/>
      </w:pPr>
      <w:r>
        <w:separator/>
      </w:r>
    </w:p>
  </w:endnote>
  <w:endnote w:type="continuationSeparator" w:id="0">
    <w:p w:rsidR="000E4BA8" w:rsidRDefault="000E4BA8" w:rsidP="00B74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BA8" w:rsidRDefault="000E4BA8" w:rsidP="00B74F19">
      <w:pPr>
        <w:spacing w:after="0" w:line="240" w:lineRule="auto"/>
      </w:pPr>
      <w:r>
        <w:separator/>
      </w:r>
    </w:p>
  </w:footnote>
  <w:footnote w:type="continuationSeparator" w:id="0">
    <w:p w:rsidR="000E4BA8" w:rsidRDefault="000E4BA8" w:rsidP="00B74F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10EE"/>
    <w:multiLevelType w:val="multilevel"/>
    <w:tmpl w:val="53F8B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8B4000"/>
    <w:multiLevelType w:val="multilevel"/>
    <w:tmpl w:val="15B08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04736"/>
    <w:multiLevelType w:val="multilevel"/>
    <w:tmpl w:val="2FA43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A662E"/>
    <w:multiLevelType w:val="multilevel"/>
    <w:tmpl w:val="6910F5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1160AC"/>
    <w:multiLevelType w:val="hybridMultilevel"/>
    <w:tmpl w:val="EBFC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B263C"/>
    <w:multiLevelType w:val="multilevel"/>
    <w:tmpl w:val="08866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4D70C1C"/>
    <w:multiLevelType w:val="multilevel"/>
    <w:tmpl w:val="7F961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EE5E0F"/>
    <w:multiLevelType w:val="multilevel"/>
    <w:tmpl w:val="D750D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954839"/>
    <w:multiLevelType w:val="multilevel"/>
    <w:tmpl w:val="D4A2DA1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433F9B"/>
    <w:multiLevelType w:val="hybridMultilevel"/>
    <w:tmpl w:val="2854A976"/>
    <w:lvl w:ilvl="0" w:tplc="45FC4E32">
      <w:numFmt w:val="bullet"/>
      <w:lvlText w:val="-"/>
      <w:lvlJc w:val="left"/>
      <w:pPr>
        <w:ind w:left="720" w:hanging="360"/>
      </w:pPr>
      <w:rPr>
        <w:rFonts w:ascii="Calibri" w:eastAsia="Times New Roman"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2C4089"/>
    <w:multiLevelType w:val="multilevel"/>
    <w:tmpl w:val="F28A48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667933"/>
    <w:multiLevelType w:val="multilevel"/>
    <w:tmpl w:val="DBC263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E0230F"/>
    <w:multiLevelType w:val="multilevel"/>
    <w:tmpl w:val="57C0E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42E673E"/>
    <w:multiLevelType w:val="multilevel"/>
    <w:tmpl w:val="F6CED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670DE0"/>
    <w:multiLevelType w:val="multilevel"/>
    <w:tmpl w:val="FAD2E1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8035A4"/>
    <w:multiLevelType w:val="multilevel"/>
    <w:tmpl w:val="E58A6B1A"/>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lvlOverride w:ilvl="0">
      <w:lvl w:ilvl="0">
        <w:numFmt w:val="decimal"/>
        <w:lvlText w:val="%1."/>
        <w:lvlJc w:val="left"/>
      </w:lvl>
    </w:lvlOverride>
  </w:num>
  <w:num w:numId="3">
    <w:abstractNumId w:val="10"/>
    <w:lvlOverride w:ilvl="0">
      <w:lvl w:ilvl="0">
        <w:numFmt w:val="decimal"/>
        <w:lvlText w:val="%1."/>
        <w:lvlJc w:val="left"/>
      </w:lvl>
    </w:lvlOverride>
  </w:num>
  <w:num w:numId="4">
    <w:abstractNumId w:val="13"/>
  </w:num>
  <w:num w:numId="5">
    <w:abstractNumId w:val="6"/>
    <w:lvlOverride w:ilvl="0">
      <w:lvl w:ilvl="0">
        <w:numFmt w:val="decimal"/>
        <w:lvlText w:val="%1."/>
        <w:lvlJc w:val="left"/>
      </w:lvl>
    </w:lvlOverride>
  </w:num>
  <w:num w:numId="6">
    <w:abstractNumId w:val="11"/>
    <w:lvlOverride w:ilvl="0">
      <w:lvl w:ilvl="0">
        <w:numFmt w:val="decimal"/>
        <w:lvlText w:val="%1."/>
        <w:lvlJc w:val="left"/>
      </w:lvl>
    </w:lvlOverride>
  </w:num>
  <w:num w:numId="7">
    <w:abstractNumId w:val="12"/>
  </w:num>
  <w:num w:numId="8">
    <w:abstractNumId w:val="8"/>
  </w:num>
  <w:num w:numId="9">
    <w:abstractNumId w:val="14"/>
    <w:lvlOverride w:ilvl="0">
      <w:lvl w:ilvl="0">
        <w:numFmt w:val="decimal"/>
        <w:lvlText w:val="%1."/>
        <w:lvlJc w:val="left"/>
      </w:lvl>
    </w:lvlOverride>
  </w:num>
  <w:num w:numId="10">
    <w:abstractNumId w:val="14"/>
    <w:lvlOverride w:ilvl="0">
      <w:lvl w:ilvl="0">
        <w:numFmt w:val="decimal"/>
        <w:lvlText w:val="%1."/>
        <w:lvlJc w:val="left"/>
      </w:lvl>
    </w:lvlOverride>
  </w:num>
  <w:num w:numId="11">
    <w:abstractNumId w:val="1"/>
  </w:num>
  <w:num w:numId="12">
    <w:abstractNumId w:val="15"/>
  </w:num>
  <w:num w:numId="13">
    <w:abstractNumId w:val="2"/>
  </w:num>
  <w:num w:numId="14">
    <w:abstractNumId w:val="5"/>
  </w:num>
  <w:num w:numId="15">
    <w:abstractNumId w:val="0"/>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904B9"/>
    <w:rsid w:val="00033106"/>
    <w:rsid w:val="00090C5C"/>
    <w:rsid w:val="000E4BA8"/>
    <w:rsid w:val="000F24FF"/>
    <w:rsid w:val="00113110"/>
    <w:rsid w:val="0015780E"/>
    <w:rsid w:val="00215DE6"/>
    <w:rsid w:val="00281EF7"/>
    <w:rsid w:val="002E01F1"/>
    <w:rsid w:val="0039424C"/>
    <w:rsid w:val="004570B4"/>
    <w:rsid w:val="00514623"/>
    <w:rsid w:val="00526498"/>
    <w:rsid w:val="00545611"/>
    <w:rsid w:val="00566DD4"/>
    <w:rsid w:val="006E5177"/>
    <w:rsid w:val="007542B6"/>
    <w:rsid w:val="007E1500"/>
    <w:rsid w:val="007F378E"/>
    <w:rsid w:val="0081178E"/>
    <w:rsid w:val="009448D3"/>
    <w:rsid w:val="0098604C"/>
    <w:rsid w:val="009A0AF1"/>
    <w:rsid w:val="009D5214"/>
    <w:rsid w:val="009F24FA"/>
    <w:rsid w:val="00A75D8A"/>
    <w:rsid w:val="00B74F19"/>
    <w:rsid w:val="00B921FA"/>
    <w:rsid w:val="00B96BCB"/>
    <w:rsid w:val="00BC1FC7"/>
    <w:rsid w:val="00C14873"/>
    <w:rsid w:val="00C601F8"/>
    <w:rsid w:val="00D07B3C"/>
    <w:rsid w:val="00D450D1"/>
    <w:rsid w:val="00D51D57"/>
    <w:rsid w:val="00D904B9"/>
    <w:rsid w:val="00DB3A84"/>
    <w:rsid w:val="00F71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526D0"/>
  <w15:docId w15:val="{264C96DE-071B-44E8-889D-48D5FA79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0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04B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F24FF"/>
    <w:pPr>
      <w:ind w:left="720"/>
      <w:contextualSpacing/>
    </w:pPr>
  </w:style>
  <w:style w:type="paragraph" w:styleId="BalloonText">
    <w:name w:val="Balloon Text"/>
    <w:basedOn w:val="Normal"/>
    <w:link w:val="BalloonTextChar"/>
    <w:uiPriority w:val="99"/>
    <w:semiHidden/>
    <w:unhideWhenUsed/>
    <w:rsid w:val="00215D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5DE6"/>
    <w:rPr>
      <w:rFonts w:ascii="Segoe UI" w:hAnsi="Segoe UI" w:cs="Segoe UI"/>
      <w:sz w:val="18"/>
      <w:szCs w:val="18"/>
    </w:rPr>
  </w:style>
  <w:style w:type="paragraph" w:styleId="Header">
    <w:name w:val="header"/>
    <w:basedOn w:val="Normal"/>
    <w:link w:val="HeaderChar"/>
    <w:uiPriority w:val="99"/>
    <w:unhideWhenUsed/>
    <w:rsid w:val="00B74F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F19"/>
  </w:style>
  <w:style w:type="paragraph" w:styleId="Footer">
    <w:name w:val="footer"/>
    <w:basedOn w:val="Normal"/>
    <w:link w:val="FooterChar"/>
    <w:uiPriority w:val="99"/>
    <w:unhideWhenUsed/>
    <w:rsid w:val="00B74F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4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94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2233</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TOSHIBA</cp:lastModifiedBy>
  <cp:revision>23</cp:revision>
  <cp:lastPrinted>2021-09-08T08:32:00Z</cp:lastPrinted>
  <dcterms:created xsi:type="dcterms:W3CDTF">2020-10-06T08:31:00Z</dcterms:created>
  <dcterms:modified xsi:type="dcterms:W3CDTF">2021-10-12T11:45:00Z</dcterms:modified>
</cp:coreProperties>
</file>